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78" w:rsidRPr="00FE7AE3" w:rsidRDefault="00A06978" w:rsidP="00A06978">
      <w:pPr>
        <w:pStyle w:val="Header"/>
        <w:jc w:val="center"/>
        <w:rPr>
          <w:rFonts w:ascii="Arial" w:hAnsi="Arial" w:cs="Arial"/>
          <w:sz w:val="72"/>
          <w:szCs w:val="72"/>
        </w:rPr>
      </w:pPr>
      <w:bookmarkStart w:id="0" w:name="_GoBack"/>
      <w:bookmarkEnd w:id="0"/>
      <w:r w:rsidRPr="00FE7AE3">
        <w:rPr>
          <w:rFonts w:ascii="Arial" w:hAnsi="Arial" w:cs="Arial"/>
          <w:sz w:val="72"/>
          <w:szCs w:val="72"/>
        </w:rPr>
        <w:t xml:space="preserve">ERC </w:t>
      </w:r>
      <w:r w:rsidRPr="00FE7AE3">
        <w:rPr>
          <w:rFonts w:ascii="Arial" w:hAnsi="Arial" w:cs="Arial"/>
          <w:i/>
          <w:sz w:val="72"/>
          <w:szCs w:val="72"/>
        </w:rPr>
        <w:t>Insight</w:t>
      </w:r>
      <w:r w:rsidR="00A86FE4">
        <w:rPr>
          <w:rFonts w:ascii="Arial" w:hAnsi="Arial" w:cs="Arial"/>
          <w:i/>
          <w:sz w:val="72"/>
          <w:szCs w:val="72"/>
        </w:rPr>
        <w:t xml:space="preserve"> No.2</w:t>
      </w:r>
    </w:p>
    <w:p w:rsidR="00A06978" w:rsidRDefault="00A06978" w:rsidP="00A06978">
      <w:pPr>
        <w:pStyle w:val="Header"/>
        <w:jc w:val="center"/>
        <w:rPr>
          <w:rFonts w:ascii="Arial" w:hAnsi="Arial" w:cs="Arial"/>
          <w:sz w:val="32"/>
          <w:szCs w:val="32"/>
        </w:rPr>
      </w:pPr>
    </w:p>
    <w:p w:rsidR="00A06978" w:rsidRPr="00337DC6" w:rsidRDefault="00A06978" w:rsidP="00A06978">
      <w:pPr>
        <w:pStyle w:val="Header"/>
        <w:jc w:val="center"/>
        <w:rPr>
          <w:sz w:val="32"/>
          <w:szCs w:val="32"/>
        </w:rPr>
      </w:pPr>
      <w:r>
        <w:rPr>
          <w:rFonts w:ascii="Arial" w:hAnsi="Arial" w:cs="Arial"/>
          <w:sz w:val="32"/>
          <w:szCs w:val="32"/>
        </w:rPr>
        <w:t xml:space="preserve">November </w:t>
      </w:r>
      <w:r w:rsidRPr="00337DC6">
        <w:rPr>
          <w:rFonts w:ascii="Arial" w:hAnsi="Arial" w:cs="Arial"/>
          <w:sz w:val="32"/>
          <w:szCs w:val="32"/>
        </w:rPr>
        <w:t>2013</w:t>
      </w:r>
    </w:p>
    <w:p w:rsidR="00A06978" w:rsidRDefault="00A06978" w:rsidP="00431993">
      <w:pPr>
        <w:spacing w:after="0"/>
      </w:pPr>
    </w:p>
    <w:p w:rsidR="00A06978" w:rsidRPr="00877352" w:rsidRDefault="00A06978" w:rsidP="00FC66BC">
      <w:pPr>
        <w:pBdr>
          <w:top w:val="single" w:sz="4" w:space="1" w:color="auto"/>
          <w:bottom w:val="single" w:sz="4" w:space="1" w:color="auto"/>
        </w:pBdr>
        <w:spacing w:before="120"/>
        <w:jc w:val="center"/>
        <w:rPr>
          <w:sz w:val="48"/>
          <w:szCs w:val="48"/>
        </w:rPr>
      </w:pPr>
      <w:proofErr w:type="gramStart"/>
      <w:r w:rsidRPr="00877352">
        <w:rPr>
          <w:rFonts w:ascii="Arial" w:hAnsi="Arial" w:cs="Arial"/>
          <w:b/>
          <w:i/>
          <w:sz w:val="48"/>
          <w:szCs w:val="48"/>
        </w:rPr>
        <w:t>The UK mid-market – ‘Overlooked Middle’ or lair of</w:t>
      </w:r>
      <w:r w:rsidR="00FC66BC" w:rsidRPr="00877352">
        <w:rPr>
          <w:rFonts w:ascii="Arial" w:hAnsi="Arial" w:cs="Arial"/>
          <w:b/>
          <w:i/>
          <w:sz w:val="48"/>
          <w:szCs w:val="48"/>
        </w:rPr>
        <w:t xml:space="preserve"> </w:t>
      </w:r>
      <w:r w:rsidRPr="00877352">
        <w:rPr>
          <w:rFonts w:ascii="Arial" w:hAnsi="Arial" w:cs="Arial"/>
          <w:b/>
          <w:i/>
          <w:sz w:val="48"/>
          <w:szCs w:val="48"/>
        </w:rPr>
        <w:t>the Hidden Champions?</w:t>
      </w:r>
      <w:proofErr w:type="gramEnd"/>
    </w:p>
    <w:p w:rsidR="00EE3602" w:rsidRDefault="00EE3602" w:rsidP="00EE3602">
      <w:pPr>
        <w:jc w:val="both"/>
        <w:rPr>
          <w:rFonts w:ascii="Arial" w:hAnsi="Arial" w:cs="Arial"/>
          <w:b/>
        </w:rPr>
      </w:pPr>
      <w:r>
        <w:rPr>
          <w:rFonts w:ascii="Arial" w:hAnsi="Arial" w:cs="Arial"/>
          <w:b/>
        </w:rPr>
        <w:t>Mid-sized firms have often been ignored in UK policy developmen</w:t>
      </w:r>
      <w:r w:rsidR="0065104D">
        <w:rPr>
          <w:rFonts w:ascii="Arial" w:hAnsi="Arial" w:cs="Arial"/>
          <w:b/>
        </w:rPr>
        <w:t>t but represent around a third of all private sector employment and value added.</w:t>
      </w:r>
      <w:r w:rsidR="00F00E29">
        <w:rPr>
          <w:rFonts w:ascii="Arial" w:hAnsi="Arial" w:cs="Arial"/>
          <w:b/>
        </w:rPr>
        <w:t xml:space="preserve"> Tentative developments in mid-market policy were made in the Growth Review but a</w:t>
      </w:r>
      <w:r w:rsidR="000A3309">
        <w:rPr>
          <w:rFonts w:ascii="Arial" w:hAnsi="Arial" w:cs="Arial"/>
          <w:b/>
        </w:rPr>
        <w:t xml:space="preserve">s we seek to maximise the UK’s growth potential are there </w:t>
      </w:r>
      <w:r w:rsidR="00F00E29">
        <w:rPr>
          <w:rFonts w:ascii="Arial" w:hAnsi="Arial" w:cs="Arial"/>
          <w:b/>
        </w:rPr>
        <w:t xml:space="preserve">other </w:t>
      </w:r>
      <w:r w:rsidR="000A3309">
        <w:rPr>
          <w:rFonts w:ascii="Arial" w:hAnsi="Arial" w:cs="Arial"/>
          <w:b/>
        </w:rPr>
        <w:t xml:space="preserve">things we can do to </w:t>
      </w:r>
      <w:r w:rsidR="0065104D">
        <w:rPr>
          <w:rFonts w:ascii="Arial" w:hAnsi="Arial" w:cs="Arial"/>
          <w:b/>
        </w:rPr>
        <w:t xml:space="preserve">promote </w:t>
      </w:r>
      <w:r w:rsidR="000A3309">
        <w:rPr>
          <w:rFonts w:ascii="Arial" w:hAnsi="Arial" w:cs="Arial"/>
          <w:b/>
        </w:rPr>
        <w:t xml:space="preserve">mid-market growth? </w:t>
      </w:r>
      <w:r w:rsidR="00D14E69">
        <w:rPr>
          <w:rFonts w:ascii="Arial" w:hAnsi="Arial" w:cs="Arial"/>
          <w:b/>
        </w:rPr>
        <w:t xml:space="preserve"> </w:t>
      </w:r>
      <w:r>
        <w:rPr>
          <w:rFonts w:ascii="Arial" w:hAnsi="Arial" w:cs="Arial"/>
          <w:b/>
        </w:rPr>
        <w:t xml:space="preserve">Stephen Roper, Director of ERC, </w:t>
      </w:r>
      <w:r w:rsidR="0065104D">
        <w:rPr>
          <w:rFonts w:ascii="Arial" w:hAnsi="Arial" w:cs="Arial"/>
          <w:b/>
        </w:rPr>
        <w:t xml:space="preserve">highlights </w:t>
      </w:r>
      <w:r>
        <w:rPr>
          <w:rFonts w:ascii="Arial" w:hAnsi="Arial" w:cs="Arial"/>
          <w:b/>
        </w:rPr>
        <w:t>two alternative views of the UK mid-market</w:t>
      </w:r>
      <w:r w:rsidR="0065104D">
        <w:rPr>
          <w:rFonts w:ascii="Arial" w:hAnsi="Arial" w:cs="Arial"/>
          <w:b/>
        </w:rPr>
        <w:t xml:space="preserve">. </w:t>
      </w:r>
      <w:r w:rsidR="00D14E69">
        <w:rPr>
          <w:rFonts w:ascii="Arial" w:hAnsi="Arial" w:cs="Arial"/>
          <w:b/>
        </w:rPr>
        <w:t xml:space="preserve"> </w:t>
      </w:r>
      <w:r w:rsidR="0065104D">
        <w:rPr>
          <w:rFonts w:ascii="Arial" w:hAnsi="Arial" w:cs="Arial"/>
          <w:b/>
        </w:rPr>
        <w:t xml:space="preserve">The ‘overlooked middle’ perspective emphasises that UK policy has </w:t>
      </w:r>
      <w:r w:rsidR="000A3309">
        <w:rPr>
          <w:rFonts w:ascii="Arial" w:hAnsi="Arial" w:cs="Arial"/>
          <w:b/>
        </w:rPr>
        <w:t>been symbolic rather than substantive, lacking</w:t>
      </w:r>
      <w:r>
        <w:rPr>
          <w:rFonts w:ascii="Arial" w:hAnsi="Arial" w:cs="Arial"/>
          <w:b/>
        </w:rPr>
        <w:t xml:space="preserve"> scale and consistency. </w:t>
      </w:r>
      <w:r w:rsidR="00D14E69">
        <w:rPr>
          <w:rFonts w:ascii="Arial" w:hAnsi="Arial" w:cs="Arial"/>
          <w:b/>
        </w:rPr>
        <w:t xml:space="preserve"> </w:t>
      </w:r>
      <w:r w:rsidR="000A3309">
        <w:rPr>
          <w:rFonts w:ascii="Arial" w:hAnsi="Arial" w:cs="Arial"/>
          <w:b/>
        </w:rPr>
        <w:t xml:space="preserve">This has led to a lower level of confidence among mid-market firms in UK government policy than that in France, Germany and Italy. </w:t>
      </w:r>
      <w:r w:rsidR="00D14E69">
        <w:rPr>
          <w:rFonts w:ascii="Arial" w:hAnsi="Arial" w:cs="Arial"/>
          <w:b/>
        </w:rPr>
        <w:t xml:space="preserve"> </w:t>
      </w:r>
      <w:r w:rsidR="0065104D">
        <w:rPr>
          <w:rFonts w:ascii="Arial" w:hAnsi="Arial" w:cs="Arial"/>
          <w:b/>
        </w:rPr>
        <w:t xml:space="preserve">The Hidden Champions perspective recognises the rapid growth of leading MSBs and the lack of acknowledgement they receive in the UK. </w:t>
      </w:r>
      <w:r w:rsidR="00D14E69">
        <w:rPr>
          <w:rFonts w:ascii="Arial" w:hAnsi="Arial" w:cs="Arial"/>
          <w:b/>
        </w:rPr>
        <w:t xml:space="preserve"> </w:t>
      </w:r>
      <w:r w:rsidR="0065104D">
        <w:rPr>
          <w:rFonts w:ascii="Arial" w:hAnsi="Arial" w:cs="Arial"/>
          <w:b/>
        </w:rPr>
        <w:t xml:space="preserve">This is despite the UK leading France, Germany and Italy in terms of the proportion of fast growing MSBs. </w:t>
      </w:r>
      <w:r w:rsidR="00D14E69">
        <w:rPr>
          <w:rFonts w:ascii="Arial" w:hAnsi="Arial" w:cs="Arial"/>
          <w:b/>
        </w:rPr>
        <w:t xml:space="preserve"> </w:t>
      </w:r>
      <w:r w:rsidR="0065104D">
        <w:rPr>
          <w:rFonts w:ascii="Arial" w:hAnsi="Arial" w:cs="Arial"/>
          <w:b/>
        </w:rPr>
        <w:t>Strengthening policy and celebrating success may both help to maximise mid-market growth.</w:t>
      </w:r>
    </w:p>
    <w:p w:rsidR="00EE3602" w:rsidRDefault="0065104D" w:rsidP="0065104D">
      <w:pPr>
        <w:jc w:val="center"/>
        <w:rPr>
          <w:rFonts w:ascii="Arial" w:hAnsi="Arial" w:cs="Arial"/>
          <w:b/>
        </w:rPr>
      </w:pPr>
      <w:r>
        <w:rPr>
          <w:rFonts w:ascii="Arial" w:hAnsi="Arial" w:cs="Arial"/>
          <w:b/>
        </w:rPr>
        <w:t>Contact: Stephen.roper@wbs.ac.uk</w:t>
      </w:r>
    </w:p>
    <w:p w:rsidR="00EE3602" w:rsidRDefault="00EE3602" w:rsidP="002C5B30">
      <w:pPr>
        <w:jc w:val="both"/>
        <w:rPr>
          <w:rFonts w:ascii="Arial" w:hAnsi="Arial" w:cs="Arial"/>
          <w:b/>
        </w:rPr>
      </w:pPr>
    </w:p>
    <w:p w:rsidR="002C5B30" w:rsidRPr="0027451C" w:rsidRDefault="006338E2" w:rsidP="002C5B30">
      <w:pPr>
        <w:jc w:val="both"/>
        <w:rPr>
          <w:rFonts w:ascii="Arial" w:hAnsi="Arial" w:cs="Arial"/>
        </w:rPr>
      </w:pPr>
      <w:r w:rsidRPr="0027451C">
        <w:rPr>
          <w:rFonts w:ascii="Arial" w:hAnsi="Arial" w:cs="Arial"/>
        </w:rPr>
        <w:t xml:space="preserve">Policy thinking around the UK mid-market has focussed on the </w:t>
      </w:r>
      <w:r w:rsidR="002C5B30" w:rsidRPr="0027451C">
        <w:rPr>
          <w:rFonts w:ascii="Arial" w:hAnsi="Arial" w:cs="Arial"/>
        </w:rPr>
        <w:t xml:space="preserve">idea of the ‘overlooked middle’ with the CBI commenting that: ‘Government, the media and the financial community focus on the UK’s smallest and largest firms but often overlook the distinctive needs of those in the middle. </w:t>
      </w:r>
      <w:r w:rsidR="001C7194">
        <w:rPr>
          <w:rFonts w:ascii="Arial" w:hAnsi="Arial" w:cs="Arial"/>
        </w:rPr>
        <w:t xml:space="preserve"> </w:t>
      </w:r>
      <w:r w:rsidR="002C5B30" w:rsidRPr="0027451C">
        <w:rPr>
          <w:rFonts w:ascii="Arial" w:hAnsi="Arial" w:cs="Arial"/>
        </w:rPr>
        <w:t>M</w:t>
      </w:r>
      <w:r w:rsidR="00654801" w:rsidRPr="0027451C">
        <w:rPr>
          <w:rFonts w:ascii="Arial" w:hAnsi="Arial" w:cs="Arial"/>
        </w:rPr>
        <w:t>edium Sized Businesses (M</w:t>
      </w:r>
      <w:r w:rsidR="002C5B30" w:rsidRPr="0027451C">
        <w:rPr>
          <w:rFonts w:ascii="Arial" w:hAnsi="Arial" w:cs="Arial"/>
        </w:rPr>
        <w:t>SBs</w:t>
      </w:r>
      <w:r w:rsidR="00654801" w:rsidRPr="0027451C">
        <w:rPr>
          <w:rFonts w:ascii="Arial" w:hAnsi="Arial" w:cs="Arial"/>
        </w:rPr>
        <w:t>)</w:t>
      </w:r>
      <w:r w:rsidR="002C5B30" w:rsidRPr="0027451C">
        <w:rPr>
          <w:rFonts w:ascii="Arial" w:hAnsi="Arial" w:cs="Arial"/>
        </w:rPr>
        <w:t xml:space="preserve"> are effectively in a public policy gap: too large to benefit from policies tailored to small businesses, but too small to win the attention that FTSE firms command’.</w:t>
      </w:r>
      <w:r w:rsidR="002C5B30" w:rsidRPr="0027451C">
        <w:rPr>
          <w:rStyle w:val="EndnoteReference"/>
          <w:rFonts w:ascii="Arial" w:hAnsi="Arial" w:cs="Arial"/>
        </w:rPr>
        <w:endnoteReference w:id="2"/>
      </w:r>
      <w:r w:rsidR="002C5B30" w:rsidRPr="0027451C">
        <w:rPr>
          <w:rFonts w:ascii="Arial" w:hAnsi="Arial" w:cs="Arial"/>
        </w:rPr>
        <w:t xml:space="preserve">  Contrasts with Germany are often drawn where </w:t>
      </w:r>
      <w:proofErr w:type="spellStart"/>
      <w:r w:rsidR="002C5B30" w:rsidRPr="0027451C">
        <w:rPr>
          <w:rFonts w:ascii="Arial" w:hAnsi="Arial" w:cs="Arial"/>
        </w:rPr>
        <w:t>Mittelstand</w:t>
      </w:r>
      <w:proofErr w:type="spellEnd"/>
      <w:r w:rsidR="002C5B30" w:rsidRPr="0027451C">
        <w:rPr>
          <w:rFonts w:ascii="Arial" w:hAnsi="Arial" w:cs="Arial"/>
        </w:rPr>
        <w:t xml:space="preserve"> companies are lauded as industrial and export champions and </w:t>
      </w:r>
      <w:r w:rsidR="001C7194">
        <w:rPr>
          <w:rFonts w:ascii="Arial" w:hAnsi="Arial" w:cs="Arial"/>
        </w:rPr>
        <w:t xml:space="preserve">are </w:t>
      </w:r>
      <w:r w:rsidR="002C5B30" w:rsidRPr="0027451C">
        <w:rPr>
          <w:rFonts w:ascii="Arial" w:hAnsi="Arial" w:cs="Arial"/>
        </w:rPr>
        <w:t xml:space="preserve">well supported by government initiatives and business networks. </w:t>
      </w:r>
    </w:p>
    <w:p w:rsidR="00E16E56" w:rsidRPr="0027451C" w:rsidRDefault="00E16E56" w:rsidP="00153E78">
      <w:pPr>
        <w:jc w:val="both"/>
        <w:rPr>
          <w:rFonts w:ascii="Arial" w:hAnsi="Arial" w:cs="Arial"/>
        </w:rPr>
      </w:pPr>
      <w:r w:rsidRPr="0027451C">
        <w:rPr>
          <w:rFonts w:ascii="Arial" w:hAnsi="Arial" w:cs="Arial"/>
        </w:rPr>
        <w:t>The mid-market matters for three main reasons</w:t>
      </w:r>
      <w:r w:rsidR="00654801" w:rsidRPr="0027451C">
        <w:rPr>
          <w:rFonts w:ascii="Arial" w:hAnsi="Arial" w:cs="Arial"/>
        </w:rPr>
        <w:t xml:space="preserve">. </w:t>
      </w:r>
      <w:r w:rsidR="001C7194">
        <w:rPr>
          <w:rFonts w:ascii="Arial" w:hAnsi="Arial" w:cs="Arial"/>
        </w:rPr>
        <w:t xml:space="preserve"> </w:t>
      </w:r>
      <w:r w:rsidRPr="0027451C">
        <w:rPr>
          <w:rFonts w:ascii="Arial" w:hAnsi="Arial" w:cs="Arial"/>
        </w:rPr>
        <w:t xml:space="preserve">First, in terms of growth, mid-market firms in the UK (with turnover of between €20m and €1bn) employ around a third of all private sector employees, and have been a source of continued job </w:t>
      </w:r>
      <w:r w:rsidRPr="0027451C">
        <w:rPr>
          <w:rFonts w:ascii="Arial" w:hAnsi="Arial" w:cs="Arial"/>
        </w:rPr>
        <w:lastRenderedPageBreak/>
        <w:t>creation throughout the recession</w:t>
      </w:r>
      <w:r w:rsidR="006378D4">
        <w:rPr>
          <w:rFonts w:ascii="Arial" w:hAnsi="Arial" w:cs="Arial"/>
        </w:rPr>
        <w:t>.</w:t>
      </w:r>
      <w:r w:rsidR="006378D4">
        <w:rPr>
          <w:rStyle w:val="EndnoteReference"/>
          <w:rFonts w:ascii="Arial" w:hAnsi="Arial" w:cs="Arial"/>
        </w:rPr>
        <w:endnoteReference w:id="3"/>
      </w:r>
      <w:r w:rsidRPr="0027451C">
        <w:rPr>
          <w:rFonts w:ascii="Arial" w:hAnsi="Arial" w:cs="Arial"/>
        </w:rPr>
        <w:t xml:space="preserve"> </w:t>
      </w:r>
      <w:r w:rsidR="001C7194">
        <w:rPr>
          <w:rFonts w:ascii="Arial" w:hAnsi="Arial" w:cs="Arial"/>
        </w:rPr>
        <w:t xml:space="preserve"> </w:t>
      </w:r>
      <w:r w:rsidR="00654801" w:rsidRPr="0027451C">
        <w:rPr>
          <w:rFonts w:ascii="Arial" w:hAnsi="Arial" w:cs="Arial"/>
        </w:rPr>
        <w:t>H</w:t>
      </w:r>
      <w:r w:rsidRPr="0027451C">
        <w:rPr>
          <w:rFonts w:ascii="Arial" w:hAnsi="Arial" w:cs="Arial"/>
        </w:rPr>
        <w:t xml:space="preserve">owever, other </w:t>
      </w:r>
      <w:r w:rsidR="00654801" w:rsidRPr="0027451C">
        <w:rPr>
          <w:rFonts w:ascii="Arial" w:hAnsi="Arial" w:cs="Arial"/>
        </w:rPr>
        <w:t xml:space="preserve">evidence suggests the </w:t>
      </w:r>
      <w:r w:rsidR="00F00E29">
        <w:rPr>
          <w:rFonts w:ascii="Arial" w:hAnsi="Arial" w:cs="Arial"/>
        </w:rPr>
        <w:t xml:space="preserve">negative observation of </w:t>
      </w:r>
      <w:r w:rsidRPr="0027451C">
        <w:rPr>
          <w:rFonts w:ascii="Arial" w:hAnsi="Arial" w:cs="Arial"/>
        </w:rPr>
        <w:t>lower average turnover per employee in UK MSBs compared to those in other European economies</w:t>
      </w:r>
      <w:r w:rsidR="000A3309">
        <w:rPr>
          <w:rFonts w:ascii="Arial" w:hAnsi="Arial" w:cs="Arial"/>
        </w:rPr>
        <w:t>,</w:t>
      </w:r>
      <w:r w:rsidR="006301A4" w:rsidRPr="0027451C">
        <w:rPr>
          <w:rStyle w:val="EndnoteReference"/>
          <w:rFonts w:ascii="Arial" w:hAnsi="Arial" w:cs="Arial"/>
        </w:rPr>
        <w:endnoteReference w:id="4"/>
      </w:r>
      <w:r w:rsidRPr="0027451C">
        <w:rPr>
          <w:rFonts w:ascii="Arial" w:hAnsi="Arial" w:cs="Arial"/>
        </w:rPr>
        <w:t xml:space="preserve"> and that UK MSBs are under-represented in the top 10 per cent of the</w:t>
      </w:r>
      <w:r w:rsidR="00153E78">
        <w:rPr>
          <w:rFonts w:ascii="Arial" w:hAnsi="Arial" w:cs="Arial"/>
        </w:rPr>
        <w:t xml:space="preserve"> growth distribution of UK firms.</w:t>
      </w:r>
      <w:r w:rsidR="00153E78">
        <w:rPr>
          <w:rStyle w:val="EndnoteReference"/>
          <w:rFonts w:ascii="Arial" w:hAnsi="Arial" w:cs="Arial"/>
        </w:rPr>
        <w:endnoteReference w:id="5"/>
      </w:r>
    </w:p>
    <w:p w:rsidR="00E16E56" w:rsidRPr="0027451C" w:rsidRDefault="00E16E56" w:rsidP="00877352">
      <w:pPr>
        <w:spacing w:after="120"/>
        <w:jc w:val="both"/>
        <w:rPr>
          <w:rFonts w:ascii="Arial" w:hAnsi="Arial" w:cs="Arial"/>
        </w:rPr>
      </w:pPr>
      <w:r w:rsidRPr="0027451C">
        <w:rPr>
          <w:rFonts w:ascii="Arial" w:hAnsi="Arial" w:cs="Arial"/>
        </w:rPr>
        <w:t xml:space="preserve">Second, it has been argued that as mid-sized firms account for a larger proportion of private sector employment in Northern and Central regions of the UK, </w:t>
      </w:r>
      <w:r w:rsidR="00654801" w:rsidRPr="0027451C">
        <w:rPr>
          <w:rFonts w:ascii="Arial" w:hAnsi="Arial" w:cs="Arial"/>
        </w:rPr>
        <w:t xml:space="preserve">a vibrant and growing mid-market </w:t>
      </w:r>
      <w:r w:rsidRPr="0027451C">
        <w:rPr>
          <w:rFonts w:ascii="Arial" w:hAnsi="Arial" w:cs="Arial"/>
        </w:rPr>
        <w:t>provides a potential mechanism for regional rebalancing.</w:t>
      </w:r>
      <w:r w:rsidR="00153E78">
        <w:rPr>
          <w:rStyle w:val="EndnoteReference"/>
          <w:rFonts w:ascii="Arial" w:hAnsi="Arial" w:cs="Arial"/>
        </w:rPr>
        <w:endnoteReference w:id="6"/>
      </w:r>
      <w:r w:rsidRPr="0027451C">
        <w:rPr>
          <w:rFonts w:ascii="Arial" w:hAnsi="Arial" w:cs="Arial"/>
        </w:rPr>
        <w:t xml:space="preserve"> </w:t>
      </w:r>
      <w:r w:rsidR="001C7194">
        <w:rPr>
          <w:rFonts w:ascii="Arial" w:hAnsi="Arial" w:cs="Arial"/>
        </w:rPr>
        <w:t xml:space="preserve"> </w:t>
      </w:r>
      <w:r w:rsidRPr="0027451C">
        <w:rPr>
          <w:rFonts w:ascii="Arial" w:hAnsi="Arial" w:cs="Arial"/>
        </w:rPr>
        <w:t xml:space="preserve">Third, as manufacturing firms are more important in the mid-market than in the economy as a whole, growing the mid-market also provides a potential mechanism for </w:t>
      </w:r>
      <w:proofErr w:type="spellStart"/>
      <w:r w:rsidRPr="0027451C">
        <w:rPr>
          <w:rFonts w:ascii="Arial" w:hAnsi="Arial" w:cs="Arial"/>
        </w:rPr>
        <w:t>sectoral</w:t>
      </w:r>
      <w:proofErr w:type="spellEnd"/>
      <w:r w:rsidRPr="0027451C">
        <w:rPr>
          <w:rFonts w:ascii="Arial" w:hAnsi="Arial" w:cs="Arial"/>
        </w:rPr>
        <w:t xml:space="preserve"> rebalancing towards manufacturing and export-led growth</w:t>
      </w:r>
      <w:r w:rsidR="00153E78">
        <w:rPr>
          <w:rFonts w:ascii="Arial" w:hAnsi="Arial" w:cs="Arial"/>
        </w:rPr>
        <w:t>.</w:t>
      </w:r>
      <w:r w:rsidR="00153E78">
        <w:rPr>
          <w:rStyle w:val="EndnoteReference"/>
          <w:rFonts w:ascii="Arial" w:hAnsi="Arial" w:cs="Arial"/>
        </w:rPr>
        <w:endnoteReference w:id="7"/>
      </w:r>
      <w:r w:rsidRPr="0027451C">
        <w:rPr>
          <w:rFonts w:ascii="Arial" w:hAnsi="Arial" w:cs="Arial"/>
        </w:rPr>
        <w:t xml:space="preserve"> </w:t>
      </w:r>
    </w:p>
    <w:p w:rsidR="00B02476" w:rsidRDefault="00B02476" w:rsidP="00FC66BC">
      <w:pPr>
        <w:spacing w:after="0"/>
        <w:rPr>
          <w:rFonts w:ascii="Arial" w:hAnsi="Arial" w:cs="Arial"/>
          <w:b/>
        </w:rPr>
      </w:pPr>
    </w:p>
    <w:p w:rsidR="00E16E56" w:rsidRPr="0027451C" w:rsidRDefault="00E16E56" w:rsidP="00E16E56">
      <w:pPr>
        <w:rPr>
          <w:rFonts w:ascii="Arial" w:hAnsi="Arial" w:cs="Arial"/>
          <w:b/>
        </w:rPr>
      </w:pPr>
      <w:r w:rsidRPr="0027451C">
        <w:rPr>
          <w:rFonts w:ascii="Arial" w:hAnsi="Arial" w:cs="Arial"/>
          <w:b/>
        </w:rPr>
        <w:t>Re-thinking the UK mid-market</w:t>
      </w:r>
    </w:p>
    <w:p w:rsidR="0027451C" w:rsidRDefault="00654801" w:rsidP="00896717">
      <w:pPr>
        <w:jc w:val="both"/>
        <w:rPr>
          <w:rFonts w:ascii="Arial" w:hAnsi="Arial" w:cs="Arial"/>
        </w:rPr>
      </w:pPr>
      <w:r w:rsidRPr="0027451C">
        <w:rPr>
          <w:rFonts w:ascii="Arial" w:hAnsi="Arial" w:cs="Arial"/>
        </w:rPr>
        <w:t xml:space="preserve">The characterisation of the UK mid-market as the ‘overlooked middle’ tells only part of the story, and under-estimates the vibrancy and drive of many mid-market companies. </w:t>
      </w:r>
      <w:r w:rsidR="00DE409A">
        <w:rPr>
          <w:rFonts w:ascii="Arial" w:hAnsi="Arial" w:cs="Arial"/>
        </w:rPr>
        <w:t xml:space="preserve"> </w:t>
      </w:r>
      <w:r w:rsidRPr="0027451C">
        <w:rPr>
          <w:rFonts w:ascii="Arial" w:hAnsi="Arial" w:cs="Arial"/>
        </w:rPr>
        <w:t xml:space="preserve">Another view – emerging </w:t>
      </w:r>
      <w:r w:rsidR="00896717" w:rsidRPr="0027451C">
        <w:rPr>
          <w:rFonts w:ascii="Arial" w:hAnsi="Arial" w:cs="Arial"/>
        </w:rPr>
        <w:t xml:space="preserve">from research on MSBs around the world sees the mid-market as the </w:t>
      </w:r>
      <w:r w:rsidR="002C5B30" w:rsidRPr="0027451C">
        <w:rPr>
          <w:rFonts w:ascii="Arial" w:hAnsi="Arial" w:cs="Arial"/>
        </w:rPr>
        <w:t>lair of the ‘</w:t>
      </w:r>
      <w:r w:rsidR="00896717" w:rsidRPr="0027451C">
        <w:rPr>
          <w:rFonts w:ascii="Arial" w:hAnsi="Arial" w:cs="Arial"/>
        </w:rPr>
        <w:t>H</w:t>
      </w:r>
      <w:r w:rsidR="002C5B30" w:rsidRPr="0027451C">
        <w:rPr>
          <w:rFonts w:ascii="Arial" w:hAnsi="Arial" w:cs="Arial"/>
        </w:rPr>
        <w:t xml:space="preserve">idden </w:t>
      </w:r>
      <w:r w:rsidR="00896717" w:rsidRPr="0027451C">
        <w:rPr>
          <w:rFonts w:ascii="Arial" w:hAnsi="Arial" w:cs="Arial"/>
        </w:rPr>
        <w:t>C</w:t>
      </w:r>
      <w:r w:rsidR="002C5B30" w:rsidRPr="0027451C">
        <w:rPr>
          <w:rFonts w:ascii="Arial" w:hAnsi="Arial" w:cs="Arial"/>
        </w:rPr>
        <w:t>hampions’.</w:t>
      </w:r>
      <w:r w:rsidR="006378D4">
        <w:rPr>
          <w:rStyle w:val="EndnoteReference"/>
          <w:rFonts w:ascii="Arial" w:hAnsi="Arial" w:cs="Arial"/>
        </w:rPr>
        <w:endnoteReference w:id="8"/>
      </w:r>
      <w:r w:rsidR="00E16E56" w:rsidRPr="0027451C">
        <w:rPr>
          <w:rFonts w:ascii="Arial" w:hAnsi="Arial" w:cs="Arial"/>
        </w:rPr>
        <w:t xml:space="preserve"> </w:t>
      </w:r>
    </w:p>
    <w:p w:rsidR="00896717" w:rsidRPr="0027451C" w:rsidRDefault="00896717" w:rsidP="00896717">
      <w:pPr>
        <w:jc w:val="both"/>
        <w:rPr>
          <w:rFonts w:ascii="Arial" w:hAnsi="Arial" w:cs="Arial"/>
        </w:rPr>
      </w:pPr>
      <w:r w:rsidRPr="0027451C">
        <w:rPr>
          <w:rFonts w:ascii="Arial" w:hAnsi="Arial" w:cs="Arial"/>
        </w:rPr>
        <w:t>Hidden C</w:t>
      </w:r>
      <w:r w:rsidR="00E16E56" w:rsidRPr="0027451C">
        <w:rPr>
          <w:rFonts w:ascii="Arial" w:hAnsi="Arial" w:cs="Arial"/>
        </w:rPr>
        <w:t xml:space="preserve">hampions </w:t>
      </w:r>
      <w:r w:rsidRPr="0027451C">
        <w:rPr>
          <w:rFonts w:ascii="Arial" w:hAnsi="Arial" w:cs="Arial"/>
        </w:rPr>
        <w:t xml:space="preserve">are those </w:t>
      </w:r>
      <w:r w:rsidR="00E16E56" w:rsidRPr="0027451C">
        <w:rPr>
          <w:rFonts w:ascii="Arial" w:hAnsi="Arial" w:cs="Arial"/>
        </w:rPr>
        <w:t xml:space="preserve">mid-sized firms which are market leaders in their field but which are not large enough to have become household names. </w:t>
      </w:r>
      <w:r w:rsidR="00DE409A">
        <w:rPr>
          <w:rFonts w:ascii="Arial" w:hAnsi="Arial" w:cs="Arial"/>
        </w:rPr>
        <w:t xml:space="preserve"> </w:t>
      </w:r>
      <w:r w:rsidR="00E16E56" w:rsidRPr="0027451C">
        <w:rPr>
          <w:rFonts w:ascii="Arial" w:hAnsi="Arial" w:cs="Arial"/>
        </w:rPr>
        <w:t>Often privately held or family-owned</w:t>
      </w:r>
      <w:r w:rsidR="00DE409A">
        <w:rPr>
          <w:rFonts w:ascii="Arial" w:hAnsi="Arial" w:cs="Arial"/>
        </w:rPr>
        <w:t>,</w:t>
      </w:r>
      <w:r w:rsidR="00E16E56" w:rsidRPr="0027451C">
        <w:rPr>
          <w:rFonts w:ascii="Arial" w:hAnsi="Arial" w:cs="Arial"/>
        </w:rPr>
        <w:t xml:space="preserve"> these are </w:t>
      </w:r>
      <w:r w:rsidRPr="0027451C">
        <w:rPr>
          <w:rFonts w:ascii="Arial" w:hAnsi="Arial" w:cs="Arial"/>
        </w:rPr>
        <w:t xml:space="preserve">mature </w:t>
      </w:r>
      <w:r w:rsidR="00E16E56" w:rsidRPr="0027451C">
        <w:rPr>
          <w:rFonts w:ascii="Arial" w:hAnsi="Arial" w:cs="Arial"/>
        </w:rPr>
        <w:t xml:space="preserve">firms which </w:t>
      </w:r>
      <w:r w:rsidRPr="0027451C">
        <w:rPr>
          <w:rFonts w:ascii="Arial" w:hAnsi="Arial" w:cs="Arial"/>
        </w:rPr>
        <w:t xml:space="preserve">adopt ‘super </w:t>
      </w:r>
      <w:proofErr w:type="spellStart"/>
      <w:r w:rsidRPr="0027451C">
        <w:rPr>
          <w:rFonts w:ascii="Arial" w:hAnsi="Arial" w:cs="Arial"/>
        </w:rPr>
        <w:t>nichist</w:t>
      </w:r>
      <w:proofErr w:type="spellEnd"/>
      <w:r w:rsidRPr="0027451C">
        <w:rPr>
          <w:rFonts w:ascii="Arial" w:hAnsi="Arial" w:cs="Arial"/>
        </w:rPr>
        <w:t xml:space="preserve">’ strategies focussing on building </w:t>
      </w:r>
      <w:r w:rsidR="00307550" w:rsidRPr="0027451C">
        <w:rPr>
          <w:rFonts w:ascii="Arial" w:hAnsi="Arial" w:cs="Arial"/>
        </w:rPr>
        <w:t>market leadership within a narrowly defined but global market niche</w:t>
      </w:r>
      <w:r w:rsidRPr="0027451C">
        <w:rPr>
          <w:rFonts w:ascii="Arial" w:hAnsi="Arial" w:cs="Arial"/>
        </w:rPr>
        <w:t xml:space="preserve">. </w:t>
      </w:r>
      <w:r w:rsidR="00DE409A">
        <w:rPr>
          <w:rFonts w:ascii="Arial" w:hAnsi="Arial" w:cs="Arial"/>
        </w:rPr>
        <w:t xml:space="preserve"> </w:t>
      </w:r>
      <w:r w:rsidRPr="0027451C">
        <w:rPr>
          <w:rFonts w:ascii="Arial" w:hAnsi="Arial" w:cs="Arial"/>
        </w:rPr>
        <w:t xml:space="preserve">This allows </w:t>
      </w:r>
      <w:r w:rsidR="00307550" w:rsidRPr="0027451C">
        <w:rPr>
          <w:rFonts w:ascii="Arial" w:hAnsi="Arial" w:cs="Arial"/>
        </w:rPr>
        <w:t>the development of highly focussed core competencies which help</w:t>
      </w:r>
      <w:r w:rsidRPr="0027451C">
        <w:rPr>
          <w:rFonts w:ascii="Arial" w:hAnsi="Arial" w:cs="Arial"/>
        </w:rPr>
        <w:t>s</w:t>
      </w:r>
      <w:r w:rsidR="00307550" w:rsidRPr="0027451C">
        <w:rPr>
          <w:rFonts w:ascii="Arial" w:hAnsi="Arial" w:cs="Arial"/>
        </w:rPr>
        <w:t xml:space="preserve"> to overcome diseconomies of scale due to firm size.  </w:t>
      </w:r>
    </w:p>
    <w:p w:rsidR="00896717" w:rsidRPr="0027451C" w:rsidRDefault="00896717" w:rsidP="00896717">
      <w:pPr>
        <w:jc w:val="both"/>
        <w:rPr>
          <w:rFonts w:ascii="Arial" w:hAnsi="Arial" w:cs="Arial"/>
        </w:rPr>
      </w:pPr>
      <w:r w:rsidRPr="0027451C">
        <w:rPr>
          <w:rFonts w:ascii="Arial" w:hAnsi="Arial" w:cs="Arial"/>
        </w:rPr>
        <w:t>Academic accounts identify five key attributes of the Hidden Champions:</w:t>
      </w:r>
    </w:p>
    <w:p w:rsidR="00896717" w:rsidRPr="0027451C" w:rsidRDefault="00307550" w:rsidP="00896717">
      <w:pPr>
        <w:pStyle w:val="ListParagraph"/>
        <w:numPr>
          <w:ilvl w:val="0"/>
          <w:numId w:val="5"/>
        </w:numPr>
        <w:jc w:val="both"/>
        <w:rPr>
          <w:rFonts w:ascii="Arial" w:hAnsi="Arial" w:cs="Arial"/>
        </w:rPr>
      </w:pPr>
      <w:r w:rsidRPr="0027451C">
        <w:rPr>
          <w:rFonts w:ascii="Arial" w:hAnsi="Arial" w:cs="Arial"/>
        </w:rPr>
        <w:t xml:space="preserve">First, they combine strategy focussed on technological leadership within a niche market with selling globally. </w:t>
      </w:r>
    </w:p>
    <w:p w:rsidR="00896717" w:rsidRPr="0027451C" w:rsidRDefault="00307550" w:rsidP="00896717">
      <w:pPr>
        <w:pStyle w:val="ListParagraph"/>
        <w:numPr>
          <w:ilvl w:val="0"/>
          <w:numId w:val="5"/>
        </w:numPr>
        <w:jc w:val="both"/>
        <w:rPr>
          <w:rFonts w:ascii="Arial" w:hAnsi="Arial" w:cs="Arial"/>
        </w:rPr>
      </w:pPr>
      <w:r w:rsidRPr="0027451C">
        <w:rPr>
          <w:rFonts w:ascii="Arial" w:hAnsi="Arial" w:cs="Arial"/>
        </w:rPr>
        <w:t xml:space="preserve">Second, they have a detailed understanding of customer values and use this effectively to inform their product and service offerings. </w:t>
      </w:r>
    </w:p>
    <w:p w:rsidR="00896717" w:rsidRPr="0027451C" w:rsidRDefault="00896717" w:rsidP="00896717">
      <w:pPr>
        <w:pStyle w:val="ListParagraph"/>
        <w:numPr>
          <w:ilvl w:val="0"/>
          <w:numId w:val="5"/>
        </w:numPr>
        <w:jc w:val="both"/>
        <w:rPr>
          <w:rFonts w:ascii="Arial" w:hAnsi="Arial" w:cs="Arial"/>
        </w:rPr>
      </w:pPr>
      <w:r w:rsidRPr="0027451C">
        <w:rPr>
          <w:rFonts w:ascii="Arial" w:hAnsi="Arial" w:cs="Arial"/>
        </w:rPr>
        <w:t>Third</w:t>
      </w:r>
      <w:r w:rsidR="00307550" w:rsidRPr="0027451C">
        <w:rPr>
          <w:rFonts w:ascii="Arial" w:hAnsi="Arial" w:cs="Arial"/>
        </w:rPr>
        <w:t xml:space="preserve">, they balance technologically-driven product/service developments and those driven by customer demands by frequently engaging engineering and technical staff in customer communications. </w:t>
      </w:r>
    </w:p>
    <w:p w:rsidR="00896717" w:rsidRPr="0027451C" w:rsidRDefault="00307550" w:rsidP="00896717">
      <w:pPr>
        <w:pStyle w:val="ListParagraph"/>
        <w:numPr>
          <w:ilvl w:val="0"/>
          <w:numId w:val="5"/>
        </w:numPr>
        <w:jc w:val="both"/>
        <w:rPr>
          <w:rFonts w:ascii="Arial" w:hAnsi="Arial" w:cs="Arial"/>
        </w:rPr>
      </w:pPr>
      <w:r w:rsidRPr="0027451C">
        <w:rPr>
          <w:rFonts w:ascii="Arial" w:hAnsi="Arial" w:cs="Arial"/>
        </w:rPr>
        <w:t xml:space="preserve">Fourth, they exhibit strong ‘self- reliance’ with an emphasis on </w:t>
      </w:r>
      <w:r w:rsidR="00896717" w:rsidRPr="0027451C">
        <w:rPr>
          <w:rFonts w:ascii="Arial" w:hAnsi="Arial" w:cs="Arial"/>
        </w:rPr>
        <w:t>‘</w:t>
      </w:r>
      <w:r w:rsidRPr="0027451C">
        <w:rPr>
          <w:rFonts w:ascii="Arial" w:hAnsi="Arial" w:cs="Arial"/>
        </w:rPr>
        <w:t>make</w:t>
      </w:r>
      <w:r w:rsidR="00896717" w:rsidRPr="0027451C">
        <w:rPr>
          <w:rFonts w:ascii="Arial" w:hAnsi="Arial" w:cs="Arial"/>
        </w:rPr>
        <w:t>’</w:t>
      </w:r>
      <w:r w:rsidRPr="0027451C">
        <w:rPr>
          <w:rFonts w:ascii="Arial" w:hAnsi="Arial" w:cs="Arial"/>
        </w:rPr>
        <w:t xml:space="preserve"> rather than </w:t>
      </w:r>
      <w:r w:rsidR="00896717" w:rsidRPr="0027451C">
        <w:rPr>
          <w:rFonts w:ascii="Arial" w:hAnsi="Arial" w:cs="Arial"/>
        </w:rPr>
        <w:t>‘</w:t>
      </w:r>
      <w:r w:rsidRPr="0027451C">
        <w:rPr>
          <w:rFonts w:ascii="Arial" w:hAnsi="Arial" w:cs="Arial"/>
        </w:rPr>
        <w:t>buy</w:t>
      </w:r>
      <w:r w:rsidR="00896717" w:rsidRPr="0027451C">
        <w:rPr>
          <w:rFonts w:ascii="Arial" w:hAnsi="Arial" w:cs="Arial"/>
        </w:rPr>
        <w:t>’</w:t>
      </w:r>
      <w:r w:rsidRPr="0027451C">
        <w:rPr>
          <w:rFonts w:ascii="Arial" w:hAnsi="Arial" w:cs="Arial"/>
        </w:rPr>
        <w:t xml:space="preserve"> in terms of both technology and components. </w:t>
      </w:r>
    </w:p>
    <w:p w:rsidR="00307550" w:rsidRPr="0027451C" w:rsidRDefault="00307550" w:rsidP="00896717">
      <w:pPr>
        <w:pStyle w:val="ListParagraph"/>
        <w:numPr>
          <w:ilvl w:val="0"/>
          <w:numId w:val="5"/>
        </w:numPr>
        <w:jc w:val="both"/>
        <w:rPr>
          <w:rFonts w:ascii="Arial" w:hAnsi="Arial" w:cs="Arial"/>
        </w:rPr>
      </w:pPr>
      <w:r w:rsidRPr="0027451C">
        <w:rPr>
          <w:rFonts w:ascii="Arial" w:hAnsi="Arial" w:cs="Arial"/>
        </w:rPr>
        <w:t xml:space="preserve">Finally, many </w:t>
      </w:r>
      <w:r w:rsidR="00896717" w:rsidRPr="0027451C">
        <w:rPr>
          <w:rFonts w:ascii="Arial" w:hAnsi="Arial" w:cs="Arial"/>
        </w:rPr>
        <w:t xml:space="preserve">Hidden Champions </w:t>
      </w:r>
      <w:r w:rsidRPr="0027451C">
        <w:rPr>
          <w:rFonts w:ascii="Arial" w:hAnsi="Arial" w:cs="Arial"/>
        </w:rPr>
        <w:t xml:space="preserve">are key local employers in small towns or villages, creating a mutual inter-dependence between the business and </w:t>
      </w:r>
      <w:r w:rsidR="00F00E29">
        <w:rPr>
          <w:rFonts w:ascii="Arial" w:hAnsi="Arial" w:cs="Arial"/>
        </w:rPr>
        <w:t xml:space="preserve">its employees and other local SMEs through local supply chains. </w:t>
      </w:r>
    </w:p>
    <w:p w:rsidR="00877352" w:rsidRDefault="0073259C" w:rsidP="00877352">
      <w:pPr>
        <w:jc w:val="both"/>
        <w:rPr>
          <w:rFonts w:ascii="Arial" w:hAnsi="Arial" w:cs="Arial"/>
        </w:rPr>
      </w:pPr>
      <w:r w:rsidRPr="0027451C">
        <w:rPr>
          <w:rFonts w:ascii="Arial" w:hAnsi="Arial" w:cs="Arial"/>
        </w:rPr>
        <w:t xml:space="preserve">The evidence also suggests that this type of strategy </w:t>
      </w:r>
      <w:r w:rsidR="00990068">
        <w:rPr>
          <w:rFonts w:ascii="Arial" w:hAnsi="Arial" w:cs="Arial"/>
        </w:rPr>
        <w:t xml:space="preserve">does </w:t>
      </w:r>
      <w:r w:rsidRPr="0027451C">
        <w:rPr>
          <w:rFonts w:ascii="Arial" w:hAnsi="Arial" w:cs="Arial"/>
        </w:rPr>
        <w:t xml:space="preserve">deliver in terms of sustained performance. </w:t>
      </w:r>
      <w:r w:rsidR="00DE409A">
        <w:rPr>
          <w:rFonts w:ascii="Arial" w:hAnsi="Arial" w:cs="Arial"/>
        </w:rPr>
        <w:t xml:space="preserve"> </w:t>
      </w:r>
      <w:r w:rsidR="00990068">
        <w:rPr>
          <w:rFonts w:ascii="Arial" w:hAnsi="Arial" w:cs="Arial"/>
        </w:rPr>
        <w:t>O</w:t>
      </w:r>
      <w:r w:rsidRPr="0027451C">
        <w:rPr>
          <w:rFonts w:ascii="Arial" w:hAnsi="Arial" w:cs="Arial"/>
        </w:rPr>
        <w:t>ne study following a group of over 200 German Hidden Champions through the decade pri</w:t>
      </w:r>
      <w:r w:rsidR="00F00E29">
        <w:rPr>
          <w:rFonts w:ascii="Arial" w:hAnsi="Arial" w:cs="Arial"/>
        </w:rPr>
        <w:t>or to</w:t>
      </w:r>
      <w:r w:rsidRPr="0027451C">
        <w:rPr>
          <w:rFonts w:ascii="Arial" w:hAnsi="Arial" w:cs="Arial"/>
        </w:rPr>
        <w:t xml:space="preserve"> the </w:t>
      </w:r>
      <w:r w:rsidR="00F00E29">
        <w:rPr>
          <w:rFonts w:ascii="Arial" w:hAnsi="Arial" w:cs="Arial"/>
        </w:rPr>
        <w:t xml:space="preserve">recent </w:t>
      </w:r>
      <w:r w:rsidRPr="0027451C">
        <w:rPr>
          <w:rFonts w:ascii="Arial" w:hAnsi="Arial" w:cs="Arial"/>
        </w:rPr>
        <w:t xml:space="preserve">recession suggested they </w:t>
      </w:r>
      <w:r w:rsidR="00896717" w:rsidRPr="0027451C">
        <w:rPr>
          <w:rFonts w:ascii="Arial" w:hAnsi="Arial" w:cs="Arial"/>
        </w:rPr>
        <w:t>main</w:t>
      </w:r>
      <w:r w:rsidR="00990068">
        <w:rPr>
          <w:rFonts w:ascii="Arial" w:hAnsi="Arial" w:cs="Arial"/>
        </w:rPr>
        <w:t>tained a growth rate more than three</w:t>
      </w:r>
      <w:r w:rsidR="00896717" w:rsidRPr="0027451C">
        <w:rPr>
          <w:rFonts w:ascii="Arial" w:hAnsi="Arial" w:cs="Arial"/>
        </w:rPr>
        <w:t xml:space="preserve"> times the German average over the next decade.</w:t>
      </w:r>
      <w:r w:rsidR="006378D4">
        <w:rPr>
          <w:rStyle w:val="EndnoteReference"/>
          <w:rFonts w:ascii="Arial" w:hAnsi="Arial" w:cs="Arial"/>
        </w:rPr>
        <w:endnoteReference w:id="9"/>
      </w:r>
      <w:r w:rsidR="00877352">
        <w:rPr>
          <w:rFonts w:ascii="Arial" w:hAnsi="Arial" w:cs="Arial"/>
        </w:rPr>
        <w:br w:type="page"/>
      </w:r>
    </w:p>
    <w:p w:rsidR="0073259C" w:rsidRPr="0027451C" w:rsidRDefault="0073259C" w:rsidP="00877352">
      <w:pPr>
        <w:spacing w:after="0"/>
        <w:jc w:val="both"/>
        <w:rPr>
          <w:rFonts w:ascii="Arial" w:hAnsi="Arial" w:cs="Arial"/>
        </w:rPr>
      </w:pPr>
      <w:r w:rsidRPr="0027451C">
        <w:rPr>
          <w:rFonts w:ascii="Arial" w:hAnsi="Arial" w:cs="Arial"/>
        </w:rPr>
        <w:lastRenderedPageBreak/>
        <w:t xml:space="preserve">We know relatively little about the UK’s Hidden Champion businesses but what is clear is that in terms of growth performance the UK mid-market </w:t>
      </w:r>
      <w:r w:rsidR="00CA31F1">
        <w:rPr>
          <w:rFonts w:ascii="Arial" w:hAnsi="Arial" w:cs="Arial"/>
        </w:rPr>
        <w:t xml:space="preserve">seems to be performing well compared to </w:t>
      </w:r>
      <w:r w:rsidRPr="0027451C">
        <w:rPr>
          <w:rFonts w:ascii="Arial" w:hAnsi="Arial" w:cs="Arial"/>
        </w:rPr>
        <w:t xml:space="preserve">other EU mid-markets. </w:t>
      </w:r>
      <w:r w:rsidR="00DE409A">
        <w:rPr>
          <w:rFonts w:ascii="Arial" w:hAnsi="Arial" w:cs="Arial"/>
        </w:rPr>
        <w:t xml:space="preserve"> </w:t>
      </w:r>
      <w:r w:rsidRPr="0027451C">
        <w:rPr>
          <w:rFonts w:ascii="Arial" w:hAnsi="Arial" w:cs="Arial"/>
        </w:rPr>
        <w:t xml:space="preserve">Recent survey evidence, for example, suggests that </w:t>
      </w:r>
      <w:r w:rsidR="00CA31F1">
        <w:rPr>
          <w:rFonts w:ascii="Arial" w:hAnsi="Arial" w:cs="Arial"/>
        </w:rPr>
        <w:t xml:space="preserve">during 2012-13, </w:t>
      </w:r>
      <w:r w:rsidRPr="0027451C">
        <w:rPr>
          <w:rFonts w:ascii="Arial" w:hAnsi="Arial" w:cs="Arial"/>
        </w:rPr>
        <w:t xml:space="preserve">17 per cent of UK mid-market firms achieved growth rates of 10 per cent or more </w:t>
      </w:r>
      <w:r w:rsidR="00990068">
        <w:rPr>
          <w:rFonts w:ascii="Arial" w:hAnsi="Arial" w:cs="Arial"/>
        </w:rPr>
        <w:t>compared to 13</w:t>
      </w:r>
      <w:r w:rsidRPr="0027451C">
        <w:rPr>
          <w:rFonts w:ascii="Arial" w:hAnsi="Arial" w:cs="Arial"/>
        </w:rPr>
        <w:t xml:space="preserve"> p</w:t>
      </w:r>
      <w:r w:rsidR="00990068">
        <w:rPr>
          <w:rFonts w:ascii="Arial" w:hAnsi="Arial" w:cs="Arial"/>
        </w:rPr>
        <w:t xml:space="preserve">er cent in Germany, 11 </w:t>
      </w:r>
      <w:r w:rsidRPr="0027451C">
        <w:rPr>
          <w:rFonts w:ascii="Arial" w:hAnsi="Arial" w:cs="Arial"/>
        </w:rPr>
        <w:t xml:space="preserve">per cent in France and </w:t>
      </w:r>
      <w:r w:rsidR="00990068">
        <w:rPr>
          <w:rFonts w:ascii="Arial" w:hAnsi="Arial" w:cs="Arial"/>
        </w:rPr>
        <w:t>13</w:t>
      </w:r>
      <w:r w:rsidRPr="0027451C">
        <w:rPr>
          <w:rFonts w:ascii="Arial" w:hAnsi="Arial" w:cs="Arial"/>
        </w:rPr>
        <w:t xml:space="preserve"> per cent in Italy. </w:t>
      </w:r>
    </w:p>
    <w:p w:rsidR="0073259C" w:rsidRPr="0027451C" w:rsidRDefault="0073259C" w:rsidP="00877352">
      <w:pPr>
        <w:spacing w:after="120"/>
        <w:rPr>
          <w:rFonts w:ascii="Arial" w:hAnsi="Arial" w:cs="Arial"/>
        </w:rPr>
      </w:pPr>
    </w:p>
    <w:p w:rsidR="0073259C" w:rsidRPr="0027451C" w:rsidRDefault="00DE409A" w:rsidP="00307550">
      <w:pPr>
        <w:rPr>
          <w:rFonts w:ascii="Arial" w:hAnsi="Arial" w:cs="Arial"/>
          <w:b/>
        </w:rPr>
      </w:pPr>
      <w:r>
        <w:rPr>
          <w:rFonts w:ascii="Arial" w:hAnsi="Arial" w:cs="Arial"/>
          <w:b/>
        </w:rPr>
        <w:t>Supporting mid-market growth; c</w:t>
      </w:r>
      <w:r w:rsidR="00990068">
        <w:rPr>
          <w:rFonts w:ascii="Arial" w:hAnsi="Arial" w:cs="Arial"/>
          <w:b/>
        </w:rPr>
        <w:t xml:space="preserve">elebrating the UK’s </w:t>
      </w:r>
      <w:r w:rsidR="0073259C" w:rsidRPr="0027451C">
        <w:rPr>
          <w:rFonts w:ascii="Arial" w:hAnsi="Arial" w:cs="Arial"/>
          <w:b/>
        </w:rPr>
        <w:t xml:space="preserve">Hidden Champions </w:t>
      </w:r>
    </w:p>
    <w:p w:rsidR="00F5260C" w:rsidRPr="00990068" w:rsidRDefault="00990068" w:rsidP="00990068">
      <w:pPr>
        <w:jc w:val="both"/>
        <w:rPr>
          <w:rFonts w:ascii="Arial" w:hAnsi="Arial" w:cs="Arial"/>
        </w:rPr>
      </w:pPr>
      <w:r>
        <w:rPr>
          <w:rFonts w:ascii="Arial" w:hAnsi="Arial" w:cs="Arial"/>
        </w:rPr>
        <w:t xml:space="preserve">The Coalition’s Growth </w:t>
      </w:r>
      <w:r w:rsidR="003C0EE2" w:rsidRPr="00990068">
        <w:rPr>
          <w:rFonts w:ascii="Arial" w:hAnsi="Arial" w:cs="Arial"/>
        </w:rPr>
        <w:t xml:space="preserve">Review </w:t>
      </w:r>
      <w:r>
        <w:rPr>
          <w:rFonts w:ascii="Arial" w:hAnsi="Arial" w:cs="Arial"/>
        </w:rPr>
        <w:t>did include some specific policy initiatives designed to support mid-market firms (188-193) including:</w:t>
      </w:r>
    </w:p>
    <w:p w:rsidR="00C678B3" w:rsidRPr="00182703" w:rsidRDefault="003C0EE2" w:rsidP="00182703">
      <w:pPr>
        <w:pStyle w:val="ListParagraph"/>
        <w:numPr>
          <w:ilvl w:val="0"/>
          <w:numId w:val="10"/>
        </w:numPr>
        <w:jc w:val="both"/>
        <w:rPr>
          <w:rFonts w:ascii="Arial" w:hAnsi="Arial" w:cs="Arial"/>
        </w:rPr>
      </w:pPr>
      <w:r w:rsidRPr="00182703">
        <w:rPr>
          <w:rFonts w:ascii="Arial" w:hAnsi="Arial" w:cs="Arial"/>
          <w:b/>
          <w:i/>
        </w:rPr>
        <w:t>Export support and finance</w:t>
      </w:r>
      <w:r w:rsidR="00C678B3" w:rsidRPr="00182703">
        <w:rPr>
          <w:rFonts w:ascii="Arial" w:hAnsi="Arial" w:cs="Arial"/>
        </w:rPr>
        <w:t xml:space="preserve"> – new funding was provided in the Plan for Growth for UK Trade and Investment to engage with 500 new MSB clients and expand the group of dedicated MSB International Trade and Export Finance Advisers in each region</w:t>
      </w:r>
      <w:r w:rsidR="00C678B3" w:rsidRPr="0027451C">
        <w:rPr>
          <w:rStyle w:val="EndnoteReference"/>
          <w:rFonts w:ascii="Arial" w:hAnsi="Arial" w:cs="Arial"/>
        </w:rPr>
        <w:endnoteReference w:id="10"/>
      </w:r>
      <w:r w:rsidR="00C678B3" w:rsidRPr="00182703">
        <w:rPr>
          <w:rFonts w:ascii="Arial" w:hAnsi="Arial" w:cs="Arial"/>
        </w:rPr>
        <w:t xml:space="preserve">. </w:t>
      </w:r>
      <w:r w:rsidR="00DE409A">
        <w:rPr>
          <w:rFonts w:ascii="Arial" w:hAnsi="Arial" w:cs="Arial"/>
        </w:rPr>
        <w:t xml:space="preserve"> </w:t>
      </w:r>
      <w:r w:rsidR="00C678B3" w:rsidRPr="00182703">
        <w:rPr>
          <w:rFonts w:ascii="Arial" w:hAnsi="Arial" w:cs="Arial"/>
        </w:rPr>
        <w:t xml:space="preserve">Barriers remain, however, for </w:t>
      </w:r>
      <w:r w:rsidR="00DE409A">
        <w:rPr>
          <w:rFonts w:ascii="Arial" w:hAnsi="Arial" w:cs="Arial"/>
        </w:rPr>
        <w:t xml:space="preserve">UK </w:t>
      </w:r>
      <w:r w:rsidR="00C678B3" w:rsidRPr="00182703">
        <w:rPr>
          <w:rFonts w:ascii="Arial" w:hAnsi="Arial" w:cs="Arial"/>
        </w:rPr>
        <w:t xml:space="preserve">mid-market firms seeking to take advantage of emerging export markets. </w:t>
      </w:r>
      <w:r w:rsidR="00DE409A">
        <w:rPr>
          <w:rFonts w:ascii="Arial" w:hAnsi="Arial" w:cs="Arial"/>
        </w:rPr>
        <w:t xml:space="preserve"> </w:t>
      </w:r>
      <w:r w:rsidR="00C678B3" w:rsidRPr="00182703">
        <w:rPr>
          <w:rFonts w:ascii="Arial" w:hAnsi="Arial" w:cs="Arial"/>
        </w:rPr>
        <w:t xml:space="preserve">Around 1:5 UK mid-market firms (and around 1:3 of those seeking to increase export to emerging markets), for example, highlight ‘a lack of local knowledge contacts in new market(s) of interest’ as the main barrier they faced in increasing exports. </w:t>
      </w:r>
      <w:r w:rsidR="00DE409A">
        <w:rPr>
          <w:rFonts w:ascii="Arial" w:hAnsi="Arial" w:cs="Arial"/>
        </w:rPr>
        <w:t xml:space="preserve"> </w:t>
      </w:r>
      <w:r w:rsidR="00C678B3" w:rsidRPr="00182703">
        <w:rPr>
          <w:rFonts w:ascii="Arial" w:hAnsi="Arial" w:cs="Arial"/>
        </w:rPr>
        <w:t xml:space="preserve">At a national level, this is equivalent to around 5-6,000 MSBs which continue to face significant barriers to exporting. </w:t>
      </w:r>
    </w:p>
    <w:p w:rsidR="00F5260C" w:rsidRPr="00182703" w:rsidRDefault="003C0EE2" w:rsidP="00182703">
      <w:pPr>
        <w:pStyle w:val="ListParagraph"/>
        <w:numPr>
          <w:ilvl w:val="0"/>
          <w:numId w:val="10"/>
        </w:numPr>
        <w:jc w:val="both"/>
        <w:rPr>
          <w:rFonts w:ascii="Arial" w:hAnsi="Arial" w:cs="Arial"/>
        </w:rPr>
      </w:pPr>
      <w:r w:rsidRPr="00182703">
        <w:rPr>
          <w:rFonts w:ascii="Arial" w:hAnsi="Arial" w:cs="Arial"/>
          <w:b/>
          <w:i/>
        </w:rPr>
        <w:t>Supply chains and resource efficiency</w:t>
      </w:r>
      <w:r w:rsidR="00C678B3" w:rsidRPr="00182703">
        <w:rPr>
          <w:rFonts w:ascii="Arial" w:hAnsi="Arial" w:cs="Arial"/>
        </w:rPr>
        <w:t xml:space="preserve"> </w:t>
      </w:r>
      <w:r w:rsidR="00CD086D" w:rsidRPr="00182703">
        <w:rPr>
          <w:rFonts w:ascii="Arial" w:hAnsi="Arial" w:cs="Arial"/>
        </w:rPr>
        <w:t xml:space="preserve">- </w:t>
      </w:r>
      <w:r w:rsidR="00C678B3" w:rsidRPr="00182703">
        <w:rPr>
          <w:rFonts w:ascii="Arial" w:hAnsi="Arial" w:cs="Arial"/>
        </w:rPr>
        <w:t xml:space="preserve">schemes such as the Waste and Resources Action Programme (WRAP) have a target of supporting 200 MSBs by </w:t>
      </w:r>
      <w:r w:rsidR="00CD086D" w:rsidRPr="00182703">
        <w:rPr>
          <w:rFonts w:ascii="Arial" w:hAnsi="Arial" w:cs="Arial"/>
        </w:rPr>
        <w:t>end 2014</w:t>
      </w:r>
      <w:r w:rsidR="00CD086D" w:rsidRPr="0027451C">
        <w:rPr>
          <w:rStyle w:val="EndnoteReference"/>
          <w:rFonts w:ascii="Arial" w:hAnsi="Arial" w:cs="Arial"/>
        </w:rPr>
        <w:endnoteReference w:id="11"/>
      </w:r>
      <w:r w:rsidR="00CD086D" w:rsidRPr="00182703">
        <w:rPr>
          <w:rFonts w:ascii="Arial" w:hAnsi="Arial" w:cs="Arial"/>
        </w:rPr>
        <w:t xml:space="preserve">. </w:t>
      </w:r>
      <w:r w:rsidR="00B90595">
        <w:rPr>
          <w:rFonts w:ascii="Arial" w:hAnsi="Arial" w:cs="Arial"/>
        </w:rPr>
        <w:t xml:space="preserve"> </w:t>
      </w:r>
      <w:r w:rsidR="00CD086D" w:rsidRPr="00182703">
        <w:rPr>
          <w:rFonts w:ascii="Arial" w:hAnsi="Arial" w:cs="Arial"/>
        </w:rPr>
        <w:t>In contrast to the scale of this initiative, recent survey evidence suggested around 42 per cent of UK mid-market companies (around 12,000 companies) see cost barriers as their main barrier to growth.</w:t>
      </w:r>
    </w:p>
    <w:p w:rsidR="00F5260C" w:rsidRPr="00182703" w:rsidRDefault="00DF33C8" w:rsidP="00182703">
      <w:pPr>
        <w:pStyle w:val="ListParagraph"/>
        <w:numPr>
          <w:ilvl w:val="0"/>
          <w:numId w:val="10"/>
        </w:numPr>
        <w:jc w:val="both"/>
        <w:rPr>
          <w:rFonts w:ascii="Arial" w:hAnsi="Arial" w:cs="Arial"/>
        </w:rPr>
      </w:pPr>
      <w:r w:rsidRPr="00182703">
        <w:rPr>
          <w:rFonts w:ascii="Arial" w:hAnsi="Arial" w:cs="Arial"/>
          <w:b/>
          <w:i/>
        </w:rPr>
        <w:t xml:space="preserve">Local support for MSBs – the Plan for Growth included </w:t>
      </w:r>
      <w:r w:rsidR="00B90595">
        <w:rPr>
          <w:rFonts w:ascii="Arial" w:hAnsi="Arial" w:cs="Arial"/>
        </w:rPr>
        <w:t>eight</w:t>
      </w:r>
      <w:r w:rsidRPr="00182703">
        <w:rPr>
          <w:rFonts w:ascii="Arial" w:hAnsi="Arial" w:cs="Arial"/>
        </w:rPr>
        <w:t xml:space="preserve"> Local Enterprise Partnerships (LEPs) which developed pathfinder projects to support MSBs. </w:t>
      </w:r>
      <w:r w:rsidR="00B90595">
        <w:rPr>
          <w:rFonts w:ascii="Arial" w:hAnsi="Arial" w:cs="Arial"/>
        </w:rPr>
        <w:t xml:space="preserve"> </w:t>
      </w:r>
      <w:r w:rsidRPr="00182703">
        <w:rPr>
          <w:rFonts w:ascii="Arial" w:hAnsi="Arial" w:cs="Arial"/>
        </w:rPr>
        <w:t>Progress has been made with these initiatives but it is not clear whether similar initiatives are going to be extended to the other 31 LEPs</w:t>
      </w:r>
      <w:r w:rsidR="00182703" w:rsidRPr="00182703">
        <w:rPr>
          <w:rFonts w:ascii="Arial" w:hAnsi="Arial" w:cs="Arial"/>
        </w:rPr>
        <w:t xml:space="preserve"> and the majority of MSBs. </w:t>
      </w:r>
    </w:p>
    <w:p w:rsidR="00DF33C8" w:rsidRDefault="00DF33C8" w:rsidP="00877352">
      <w:pPr>
        <w:pStyle w:val="ListParagraph"/>
        <w:numPr>
          <w:ilvl w:val="0"/>
          <w:numId w:val="10"/>
        </w:numPr>
        <w:spacing w:after="120"/>
        <w:jc w:val="both"/>
        <w:rPr>
          <w:rFonts w:ascii="Arial" w:hAnsi="Arial" w:cs="Arial"/>
        </w:rPr>
      </w:pPr>
      <w:r w:rsidRPr="00182703">
        <w:rPr>
          <w:rFonts w:ascii="Arial" w:hAnsi="Arial" w:cs="Arial"/>
          <w:b/>
          <w:i/>
        </w:rPr>
        <w:t>Business school relationships with MSBs</w:t>
      </w:r>
      <w:r w:rsidRPr="00182703">
        <w:rPr>
          <w:rFonts w:ascii="Arial" w:hAnsi="Arial" w:cs="Arial"/>
        </w:rPr>
        <w:t xml:space="preserve"> were examined by a UK Task Force whic</w:t>
      </w:r>
      <w:r w:rsidR="00877352">
        <w:rPr>
          <w:rFonts w:ascii="Arial" w:hAnsi="Arial" w:cs="Arial"/>
        </w:rPr>
        <w:t>h published its report in 2012.</w:t>
      </w:r>
    </w:p>
    <w:p w:rsidR="00182703" w:rsidRPr="00153E78" w:rsidRDefault="00DF33C8" w:rsidP="00153E78">
      <w:pPr>
        <w:ind w:left="1440"/>
        <w:jc w:val="both"/>
        <w:rPr>
          <w:rFonts w:ascii="Arial" w:hAnsi="Arial" w:cs="Arial"/>
        </w:rPr>
      </w:pPr>
      <w:r w:rsidRPr="00153E78">
        <w:rPr>
          <w:rFonts w:ascii="Arial" w:hAnsi="Arial" w:cs="Arial"/>
        </w:rPr>
        <w:t>‘While the Task Force has uncovered many examples of effective business school engagement with MSBs, there is much more that both sides can do to foster stronger, more sustainable relationships … We are failing to make the most of our world class business schools’.</w:t>
      </w:r>
      <w:r>
        <w:rPr>
          <w:rStyle w:val="EndnoteReference"/>
          <w:rFonts w:ascii="Arial" w:hAnsi="Arial" w:cs="Arial"/>
        </w:rPr>
        <w:endnoteReference w:id="12"/>
      </w:r>
      <w:r w:rsidRPr="00153E78">
        <w:rPr>
          <w:rFonts w:ascii="Arial" w:hAnsi="Arial" w:cs="Arial"/>
        </w:rPr>
        <w:t xml:space="preserve"> </w:t>
      </w:r>
    </w:p>
    <w:p w:rsidR="00DF33C8" w:rsidRPr="00877352" w:rsidRDefault="00DF33C8" w:rsidP="00FC66BC">
      <w:pPr>
        <w:pStyle w:val="ListParagraph"/>
        <w:numPr>
          <w:ilvl w:val="0"/>
          <w:numId w:val="10"/>
        </w:numPr>
        <w:spacing w:after="300"/>
        <w:contextualSpacing w:val="0"/>
        <w:jc w:val="both"/>
        <w:rPr>
          <w:rFonts w:ascii="Arial" w:hAnsi="Arial" w:cs="Arial"/>
        </w:rPr>
      </w:pPr>
      <w:r w:rsidRPr="00877352">
        <w:rPr>
          <w:rFonts w:ascii="Arial" w:hAnsi="Arial" w:cs="Arial"/>
        </w:rPr>
        <w:t xml:space="preserve">In terms of the Growth Review this action is now ‘Complete’. </w:t>
      </w:r>
      <w:r w:rsidR="00B90595" w:rsidRPr="00877352">
        <w:rPr>
          <w:rFonts w:ascii="Arial" w:hAnsi="Arial" w:cs="Arial"/>
        </w:rPr>
        <w:t xml:space="preserve"> </w:t>
      </w:r>
      <w:r w:rsidRPr="00877352">
        <w:rPr>
          <w:rFonts w:ascii="Arial" w:hAnsi="Arial" w:cs="Arial"/>
        </w:rPr>
        <w:t>More difficult, however, is to assess the extent to which the Task Force report and its recommendations have led to changes in MSB</w:t>
      </w:r>
      <w:r w:rsidR="00FC66BC" w:rsidRPr="00877352">
        <w:rPr>
          <w:rFonts w:ascii="Arial" w:hAnsi="Arial" w:cs="Arial"/>
        </w:rPr>
        <w:t>-business school relationships.</w:t>
      </w:r>
      <w:r w:rsidR="00877352" w:rsidRPr="00877352">
        <w:rPr>
          <w:rFonts w:ascii="Arial" w:hAnsi="Arial" w:cs="Arial"/>
        </w:rPr>
        <w:br w:type="page"/>
      </w:r>
    </w:p>
    <w:p w:rsidR="00182703" w:rsidRPr="0027451C" w:rsidRDefault="00182703" w:rsidP="00182703">
      <w:pPr>
        <w:jc w:val="both"/>
        <w:rPr>
          <w:rFonts w:ascii="Arial" w:hAnsi="Arial" w:cs="Arial"/>
        </w:rPr>
      </w:pPr>
      <w:r>
        <w:rPr>
          <w:rFonts w:ascii="Arial" w:hAnsi="Arial" w:cs="Arial"/>
        </w:rPr>
        <w:lastRenderedPageBreak/>
        <w:t xml:space="preserve">Each of these MSB initiatives </w:t>
      </w:r>
      <w:r w:rsidR="00FC66BC">
        <w:rPr>
          <w:rFonts w:ascii="Arial" w:hAnsi="Arial" w:cs="Arial"/>
        </w:rPr>
        <w:t>is</w:t>
      </w:r>
      <w:r>
        <w:rPr>
          <w:rFonts w:ascii="Arial" w:hAnsi="Arial" w:cs="Arial"/>
        </w:rPr>
        <w:t xml:space="preserve"> of value. </w:t>
      </w:r>
      <w:r w:rsidR="003B422F">
        <w:rPr>
          <w:rFonts w:ascii="Arial" w:hAnsi="Arial" w:cs="Arial"/>
        </w:rPr>
        <w:t xml:space="preserve"> </w:t>
      </w:r>
      <w:r>
        <w:rPr>
          <w:rFonts w:ascii="Arial" w:hAnsi="Arial" w:cs="Arial"/>
        </w:rPr>
        <w:t>In terms of scale</w:t>
      </w:r>
      <w:r w:rsidR="00D477BE">
        <w:rPr>
          <w:rFonts w:ascii="Arial" w:hAnsi="Arial" w:cs="Arial"/>
        </w:rPr>
        <w:t xml:space="preserve">, </w:t>
      </w:r>
      <w:r>
        <w:rPr>
          <w:rFonts w:ascii="Arial" w:hAnsi="Arial" w:cs="Arial"/>
        </w:rPr>
        <w:t xml:space="preserve">consistency </w:t>
      </w:r>
      <w:r w:rsidR="00D477BE">
        <w:rPr>
          <w:rFonts w:ascii="Arial" w:hAnsi="Arial" w:cs="Arial"/>
        </w:rPr>
        <w:t xml:space="preserve">and breadth, however, they </w:t>
      </w:r>
      <w:r>
        <w:rPr>
          <w:rFonts w:ascii="Arial" w:hAnsi="Arial" w:cs="Arial"/>
        </w:rPr>
        <w:t>fall well short</w:t>
      </w:r>
      <w:r w:rsidR="00D477BE">
        <w:rPr>
          <w:rFonts w:ascii="Arial" w:hAnsi="Arial" w:cs="Arial"/>
        </w:rPr>
        <w:t xml:space="preserve"> </w:t>
      </w:r>
      <w:r>
        <w:rPr>
          <w:rFonts w:ascii="Arial" w:hAnsi="Arial" w:cs="Arial"/>
        </w:rPr>
        <w:t>of a comprehensive policy framework for maximising the gro</w:t>
      </w:r>
      <w:r w:rsidR="00CA31F1">
        <w:rPr>
          <w:rFonts w:ascii="Arial" w:hAnsi="Arial" w:cs="Arial"/>
        </w:rPr>
        <w:t xml:space="preserve">wth potential of the UK’s MSBs. </w:t>
      </w:r>
      <w:r w:rsidR="00D477BE">
        <w:rPr>
          <w:rFonts w:ascii="Arial" w:hAnsi="Arial" w:cs="Arial"/>
        </w:rPr>
        <w:t xml:space="preserve">The export measures highlighted, for example, will help only 1:10 of those MSBs facing export barriers, and similar scale issues apply to each of the other measures. </w:t>
      </w:r>
      <w:r w:rsidR="003B422F">
        <w:rPr>
          <w:rFonts w:ascii="Arial" w:hAnsi="Arial" w:cs="Arial"/>
        </w:rPr>
        <w:t xml:space="preserve"> </w:t>
      </w:r>
      <w:r w:rsidR="00D477BE">
        <w:rPr>
          <w:rFonts w:ascii="Arial" w:hAnsi="Arial" w:cs="Arial"/>
        </w:rPr>
        <w:t xml:space="preserve">More broadly the limitations of current policy frameworks are </w:t>
      </w:r>
      <w:r>
        <w:rPr>
          <w:rFonts w:ascii="Arial" w:hAnsi="Arial" w:cs="Arial"/>
        </w:rPr>
        <w:t xml:space="preserve">reflected in the views of MSBs themselves. </w:t>
      </w:r>
      <w:r w:rsidR="003B422F">
        <w:rPr>
          <w:rFonts w:ascii="Arial" w:hAnsi="Arial" w:cs="Arial"/>
        </w:rPr>
        <w:t xml:space="preserve"> </w:t>
      </w:r>
      <w:r>
        <w:rPr>
          <w:rFonts w:ascii="Arial" w:hAnsi="Arial" w:cs="Arial"/>
        </w:rPr>
        <w:t>L</w:t>
      </w:r>
      <w:r w:rsidRPr="0027451C">
        <w:rPr>
          <w:rFonts w:ascii="Arial" w:hAnsi="Arial" w:cs="Arial"/>
        </w:rPr>
        <w:t>ess than a third of UK mid-mar</w:t>
      </w:r>
      <w:r>
        <w:rPr>
          <w:rFonts w:ascii="Arial" w:hAnsi="Arial" w:cs="Arial"/>
        </w:rPr>
        <w:t>ket firms - 30 per cent – agree</w:t>
      </w:r>
      <w:r w:rsidRPr="0027451C">
        <w:rPr>
          <w:rFonts w:ascii="Arial" w:hAnsi="Arial" w:cs="Arial"/>
        </w:rPr>
        <w:t xml:space="preserve"> that ‘government has appropriate measures in place to support economic growth’ compared to 41-44 per cent of mid-market firms in France, Germany and Italy. </w:t>
      </w:r>
      <w:r w:rsidR="00CA31F1">
        <w:rPr>
          <w:rFonts w:ascii="Arial" w:hAnsi="Arial" w:cs="Arial"/>
        </w:rPr>
        <w:t xml:space="preserve">These firms tend not to be those in the hidden champions group, however. </w:t>
      </w:r>
    </w:p>
    <w:p w:rsidR="005843EF" w:rsidRDefault="00B02476" w:rsidP="006338E2">
      <w:pPr>
        <w:jc w:val="both"/>
        <w:rPr>
          <w:rFonts w:ascii="Arial" w:hAnsi="Arial" w:cs="Arial"/>
        </w:rPr>
      </w:pPr>
      <w:r>
        <w:rPr>
          <w:rFonts w:ascii="Arial" w:hAnsi="Arial" w:cs="Arial"/>
        </w:rPr>
        <w:t xml:space="preserve">Policy development aside there may also be substantial benefits from increasing the visibility of the UK’s Hidden Champions and more broadly firms in the UK </w:t>
      </w:r>
      <w:proofErr w:type="spellStart"/>
      <w:r>
        <w:rPr>
          <w:rFonts w:ascii="Arial" w:hAnsi="Arial" w:cs="Arial"/>
        </w:rPr>
        <w:t>Mittelstand</w:t>
      </w:r>
      <w:proofErr w:type="spellEnd"/>
      <w:r w:rsidR="005843EF">
        <w:rPr>
          <w:rFonts w:ascii="Arial" w:hAnsi="Arial" w:cs="Arial"/>
        </w:rPr>
        <w:t xml:space="preserve">. </w:t>
      </w:r>
      <w:r w:rsidR="003B422F">
        <w:rPr>
          <w:rFonts w:ascii="Arial" w:hAnsi="Arial" w:cs="Arial"/>
        </w:rPr>
        <w:t xml:space="preserve"> </w:t>
      </w:r>
      <w:r w:rsidR="006338E2" w:rsidRPr="0027451C">
        <w:rPr>
          <w:rFonts w:ascii="Arial" w:hAnsi="Arial" w:cs="Arial"/>
        </w:rPr>
        <w:t xml:space="preserve">Possibilities include the development of a ‘Mid-market Economic Forum’ to work alongside the </w:t>
      </w:r>
      <w:r>
        <w:rPr>
          <w:rFonts w:ascii="Arial" w:hAnsi="Arial" w:cs="Arial"/>
        </w:rPr>
        <w:t>‘</w:t>
      </w:r>
      <w:r w:rsidR="006338E2" w:rsidRPr="0027451C">
        <w:rPr>
          <w:rFonts w:ascii="Arial" w:hAnsi="Arial" w:cs="Arial"/>
        </w:rPr>
        <w:t>Small Business Economic Forum</w:t>
      </w:r>
      <w:r>
        <w:rPr>
          <w:rFonts w:ascii="Arial" w:hAnsi="Arial" w:cs="Arial"/>
        </w:rPr>
        <w:t>’</w:t>
      </w:r>
      <w:r w:rsidR="006338E2" w:rsidRPr="0027451C">
        <w:rPr>
          <w:rFonts w:ascii="Arial" w:hAnsi="Arial" w:cs="Arial"/>
        </w:rPr>
        <w:t xml:space="preserve">, or indeed the appointment of a minister with specific responsibility for championing support for the mid-market. </w:t>
      </w:r>
      <w:r w:rsidR="003B422F">
        <w:rPr>
          <w:rFonts w:ascii="Arial" w:hAnsi="Arial" w:cs="Arial"/>
        </w:rPr>
        <w:t xml:space="preserve"> </w:t>
      </w:r>
      <w:r w:rsidR="006338E2" w:rsidRPr="0027451C">
        <w:rPr>
          <w:rFonts w:ascii="Arial" w:hAnsi="Arial" w:cs="Arial"/>
        </w:rPr>
        <w:t xml:space="preserve">Key measures to develop the profile of mid-sized companies might also include the development of specific awards for mid-sized companies to celebrate their export or innovation achievements. </w:t>
      </w:r>
      <w:r w:rsidR="003B422F">
        <w:rPr>
          <w:rFonts w:ascii="Arial" w:hAnsi="Arial" w:cs="Arial"/>
        </w:rPr>
        <w:t xml:space="preserve"> </w:t>
      </w:r>
      <w:r w:rsidR="006338E2" w:rsidRPr="0027451C">
        <w:rPr>
          <w:rFonts w:ascii="Arial" w:hAnsi="Arial" w:cs="Arial"/>
        </w:rPr>
        <w:t xml:space="preserve">High profile awards such as the Queen’s Awards for Enterprise, for example, could acknowledge the scale of award winners, either </w:t>
      </w:r>
      <w:r w:rsidR="00FC66BC">
        <w:rPr>
          <w:rFonts w:ascii="Arial" w:hAnsi="Arial" w:cs="Arial"/>
        </w:rPr>
        <w:t xml:space="preserve">by </w:t>
      </w:r>
      <w:r w:rsidR="006338E2" w:rsidRPr="0027451C">
        <w:rPr>
          <w:rFonts w:ascii="Arial" w:hAnsi="Arial" w:cs="Arial"/>
        </w:rPr>
        <w:t>developing separate categories for companies of different sizes, or simply acknowledg</w:t>
      </w:r>
      <w:r w:rsidR="00E46D71">
        <w:rPr>
          <w:rFonts w:ascii="Arial" w:hAnsi="Arial" w:cs="Arial"/>
        </w:rPr>
        <w:t>ing</w:t>
      </w:r>
      <w:r w:rsidR="006338E2" w:rsidRPr="0027451C">
        <w:rPr>
          <w:rFonts w:ascii="Arial" w:hAnsi="Arial" w:cs="Arial"/>
        </w:rPr>
        <w:t xml:space="preserve"> that firms belong to the group of UK MSBs. </w:t>
      </w:r>
    </w:p>
    <w:p w:rsidR="006338E2" w:rsidRPr="0027451C" w:rsidRDefault="005843EF" w:rsidP="006338E2">
      <w:pPr>
        <w:jc w:val="both"/>
        <w:rPr>
          <w:rFonts w:ascii="Arial" w:hAnsi="Arial" w:cs="Arial"/>
        </w:rPr>
      </w:pPr>
      <w:r>
        <w:rPr>
          <w:rFonts w:ascii="Arial" w:hAnsi="Arial" w:cs="Arial"/>
        </w:rPr>
        <w:t xml:space="preserve">Finally, it is worth acknowledging that the evidence base on the drivers of competitiveness and growth in UK mid-market firms remains limited. </w:t>
      </w:r>
      <w:r w:rsidR="003B422F">
        <w:rPr>
          <w:rFonts w:ascii="Arial" w:hAnsi="Arial" w:cs="Arial"/>
        </w:rPr>
        <w:t xml:space="preserve"> </w:t>
      </w:r>
      <w:r>
        <w:rPr>
          <w:rFonts w:ascii="Arial" w:hAnsi="Arial" w:cs="Arial"/>
        </w:rPr>
        <w:t xml:space="preserve">Working with our partners, </w:t>
      </w:r>
      <w:r w:rsidR="003B422F">
        <w:rPr>
          <w:rFonts w:ascii="Arial" w:hAnsi="Arial" w:cs="Arial"/>
        </w:rPr>
        <w:t xml:space="preserve">the </w:t>
      </w:r>
      <w:r>
        <w:rPr>
          <w:rFonts w:ascii="Arial" w:hAnsi="Arial" w:cs="Arial"/>
        </w:rPr>
        <w:t>ERC plan</w:t>
      </w:r>
      <w:r w:rsidR="003B422F">
        <w:rPr>
          <w:rFonts w:ascii="Arial" w:hAnsi="Arial" w:cs="Arial"/>
        </w:rPr>
        <w:t>s</w:t>
      </w:r>
      <w:r>
        <w:rPr>
          <w:rFonts w:ascii="Arial" w:hAnsi="Arial" w:cs="Arial"/>
        </w:rPr>
        <w:t xml:space="preserve"> further work in this area and we </w:t>
      </w:r>
      <w:r w:rsidR="00D477BE">
        <w:rPr>
          <w:rFonts w:ascii="Arial" w:hAnsi="Arial" w:cs="Arial"/>
        </w:rPr>
        <w:t xml:space="preserve">would welcome thoughts or comments which would inform our activities. </w:t>
      </w:r>
    </w:p>
    <w:p w:rsidR="005843EF" w:rsidRDefault="005843EF" w:rsidP="003B422F">
      <w:pPr>
        <w:jc w:val="both"/>
        <w:rPr>
          <w:rFonts w:ascii="Arial" w:hAnsi="Arial" w:cs="Arial"/>
        </w:rPr>
      </w:pPr>
      <w:r w:rsidRPr="00D14E69">
        <w:rPr>
          <w:rFonts w:ascii="Arial" w:hAnsi="Arial" w:cs="Arial"/>
        </w:rPr>
        <w:t xml:space="preserve">Another dimension of this issue is the value of developing a stronger evidence base relating to the UK mid-market and its international competitor. </w:t>
      </w:r>
      <w:r w:rsidR="00FC66BC">
        <w:rPr>
          <w:rFonts w:ascii="Arial" w:hAnsi="Arial" w:cs="Arial"/>
        </w:rPr>
        <w:t xml:space="preserve"> </w:t>
      </w:r>
      <w:r w:rsidRPr="00D14E69">
        <w:rPr>
          <w:rFonts w:ascii="Arial" w:hAnsi="Arial" w:cs="Arial"/>
        </w:rPr>
        <w:t>This is a question of research priorities.</w:t>
      </w:r>
    </w:p>
    <w:p w:rsidR="00431993" w:rsidRDefault="00431993" w:rsidP="003B422F">
      <w:pPr>
        <w:jc w:val="both"/>
        <w:rPr>
          <w:rFonts w:ascii="Arial" w:hAnsi="Arial" w:cs="Arial"/>
        </w:rPr>
      </w:pPr>
    </w:p>
    <w:p w:rsidR="00896717" w:rsidRPr="00153E78" w:rsidRDefault="00153E78">
      <w:pPr>
        <w:rPr>
          <w:rFonts w:ascii="Arial" w:hAnsi="Arial" w:cs="Arial"/>
          <w:b/>
        </w:rPr>
      </w:pPr>
      <w:r w:rsidRPr="00153E78">
        <w:rPr>
          <w:rFonts w:ascii="Arial" w:hAnsi="Arial" w:cs="Arial"/>
          <w:b/>
        </w:rPr>
        <w:t>Notes:</w:t>
      </w:r>
    </w:p>
    <w:sectPr w:rsidR="00896717" w:rsidRPr="00153E78" w:rsidSect="0065104D">
      <w:headerReference w:type="default" r:id="rId9"/>
      <w:footerReference w:type="default" r:id="rId10"/>
      <w:endnotePr>
        <w:numFmt w:val="decimal"/>
      </w:endnotePr>
      <w:pgSz w:w="11906" w:h="16838"/>
      <w:pgMar w:top="2007" w:right="2007" w:bottom="1440" w:left="20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00" w:rsidRPr="00153E78" w:rsidRDefault="00A51A00" w:rsidP="00153E78">
      <w:pPr>
        <w:pStyle w:val="Footer"/>
      </w:pPr>
      <w:r>
        <w:separator/>
      </w:r>
    </w:p>
  </w:endnote>
  <w:endnote w:type="continuationSeparator" w:id="0">
    <w:p w:rsidR="00A51A00" w:rsidRPr="00153E78" w:rsidRDefault="00A51A00" w:rsidP="00153E78">
      <w:pPr>
        <w:pStyle w:val="Footer"/>
      </w:pPr>
    </w:p>
  </w:endnote>
  <w:endnote w:type="continuationNotice" w:id="1">
    <w:p w:rsidR="00A51A00" w:rsidRDefault="00A51A00">
      <w:pPr>
        <w:spacing w:after="0" w:line="240" w:lineRule="auto"/>
      </w:pPr>
    </w:p>
  </w:endnote>
  <w:endnote w:id="2">
    <w:p w:rsidR="00896717" w:rsidRPr="00153E78" w:rsidRDefault="00896717" w:rsidP="0065104D">
      <w:pPr>
        <w:pStyle w:val="EndnoteText"/>
        <w:jc w:val="both"/>
        <w:rPr>
          <w:rFonts w:cs="Arial"/>
          <w:sz w:val="22"/>
          <w:szCs w:val="22"/>
        </w:rPr>
      </w:pPr>
      <w:r w:rsidRPr="00153E78">
        <w:rPr>
          <w:rStyle w:val="EndnoteReference"/>
          <w:rFonts w:cs="Arial"/>
          <w:sz w:val="22"/>
          <w:szCs w:val="22"/>
        </w:rPr>
        <w:endnoteRef/>
      </w:r>
      <w:r w:rsidRPr="00153E78">
        <w:rPr>
          <w:rFonts w:cs="Arial"/>
          <w:sz w:val="22"/>
          <w:szCs w:val="22"/>
        </w:rPr>
        <w:t xml:space="preserve"> </w:t>
      </w:r>
      <w:proofErr w:type="gramStart"/>
      <w:r w:rsidR="00EE3602" w:rsidRPr="00153E78">
        <w:rPr>
          <w:rFonts w:cs="Arial"/>
          <w:sz w:val="22"/>
          <w:szCs w:val="22"/>
        </w:rPr>
        <w:t>CBI (2011).</w:t>
      </w:r>
      <w:proofErr w:type="gramEnd"/>
      <w:r w:rsidR="00EE3602" w:rsidRPr="00153E78">
        <w:rPr>
          <w:rFonts w:cs="Arial"/>
          <w:sz w:val="22"/>
          <w:szCs w:val="22"/>
        </w:rPr>
        <w:t xml:space="preserve"> Future champions: Unlocking growth in the UK's mid-sized businesses. London, Confederation of British Industry</w:t>
      </w:r>
      <w:r w:rsidR="00EE3602">
        <w:rPr>
          <w:rFonts w:cs="Arial"/>
          <w:sz w:val="22"/>
          <w:szCs w:val="22"/>
        </w:rPr>
        <w:t xml:space="preserve">, </w:t>
      </w:r>
      <w:r w:rsidRPr="00153E78">
        <w:rPr>
          <w:rFonts w:cs="Arial"/>
          <w:sz w:val="22"/>
          <w:szCs w:val="22"/>
        </w:rPr>
        <w:t>p. 4.</w:t>
      </w:r>
    </w:p>
  </w:endnote>
  <w:endnote w:id="3">
    <w:p w:rsidR="006378D4" w:rsidRPr="00153E78" w:rsidRDefault="006378D4" w:rsidP="003B422F">
      <w:pPr>
        <w:autoSpaceDE w:val="0"/>
        <w:autoSpaceDN w:val="0"/>
        <w:adjustRightInd w:val="0"/>
        <w:spacing w:before="240" w:after="0" w:line="240" w:lineRule="auto"/>
        <w:jc w:val="both"/>
        <w:rPr>
          <w:rFonts w:ascii="Arial" w:hAnsi="Arial" w:cs="Arial"/>
        </w:rPr>
      </w:pPr>
      <w:r w:rsidRPr="00153E78">
        <w:rPr>
          <w:rStyle w:val="EndnoteReference"/>
          <w:rFonts w:ascii="Arial" w:hAnsi="Arial" w:cs="Arial"/>
        </w:rPr>
        <w:endnoteRef/>
      </w:r>
      <w:r w:rsidRPr="00153E78">
        <w:rPr>
          <w:rFonts w:ascii="Arial" w:hAnsi="Arial" w:cs="Arial"/>
        </w:rPr>
        <w:t xml:space="preserve"> </w:t>
      </w:r>
      <w:proofErr w:type="spellStart"/>
      <w:proofErr w:type="gramStart"/>
      <w:r w:rsidRPr="00153E78">
        <w:rPr>
          <w:rFonts w:ascii="Arial" w:hAnsi="Arial" w:cs="Arial"/>
        </w:rPr>
        <w:t>Malshe</w:t>
      </w:r>
      <w:proofErr w:type="spellEnd"/>
      <w:r w:rsidRPr="00153E78">
        <w:rPr>
          <w:rFonts w:ascii="Arial" w:hAnsi="Arial" w:cs="Arial"/>
        </w:rPr>
        <w:t>, A. and S. Roper (2012).</w:t>
      </w:r>
      <w:proofErr w:type="gramEnd"/>
      <w:r w:rsidRPr="00153E78">
        <w:rPr>
          <w:rFonts w:ascii="Arial" w:hAnsi="Arial" w:cs="Arial"/>
        </w:rPr>
        <w:t xml:space="preserve"> </w:t>
      </w:r>
      <w:r w:rsidR="003B422F">
        <w:rPr>
          <w:rFonts w:ascii="Arial" w:hAnsi="Arial" w:cs="Arial"/>
        </w:rPr>
        <w:t xml:space="preserve"> </w:t>
      </w:r>
      <w:proofErr w:type="gramStart"/>
      <w:r w:rsidRPr="00153E78">
        <w:rPr>
          <w:rFonts w:ascii="Arial" w:hAnsi="Arial" w:cs="Arial"/>
        </w:rPr>
        <w:t>Leading from the middle: the untold story of British Business London GE Capital.</w:t>
      </w:r>
      <w:proofErr w:type="gramEnd"/>
      <w:r w:rsidRPr="00153E78">
        <w:rPr>
          <w:rFonts w:ascii="Arial" w:hAnsi="Arial" w:cs="Arial"/>
        </w:rPr>
        <w:t xml:space="preserve"> </w:t>
      </w:r>
      <w:proofErr w:type="gramStart"/>
      <w:r w:rsidRPr="00153E78">
        <w:rPr>
          <w:rFonts w:ascii="Arial" w:hAnsi="Arial" w:cs="Arial"/>
        </w:rPr>
        <w:t xml:space="preserve">Roper, S. and A. </w:t>
      </w:r>
      <w:proofErr w:type="spellStart"/>
      <w:r w:rsidRPr="00153E78">
        <w:rPr>
          <w:rFonts w:ascii="Arial" w:hAnsi="Arial" w:cs="Arial"/>
        </w:rPr>
        <w:t>Malshe</w:t>
      </w:r>
      <w:proofErr w:type="spellEnd"/>
      <w:r w:rsidRPr="00153E78">
        <w:rPr>
          <w:rFonts w:ascii="Arial" w:hAnsi="Arial" w:cs="Arial"/>
        </w:rPr>
        <w:t xml:space="preserve"> (2013).</w:t>
      </w:r>
      <w:proofErr w:type="gramEnd"/>
      <w:r w:rsidRPr="00153E78">
        <w:rPr>
          <w:rFonts w:ascii="Arial" w:hAnsi="Arial" w:cs="Arial"/>
        </w:rPr>
        <w:t xml:space="preserve"> </w:t>
      </w:r>
      <w:r w:rsidR="003B422F">
        <w:rPr>
          <w:rFonts w:ascii="Arial" w:hAnsi="Arial" w:cs="Arial"/>
        </w:rPr>
        <w:t xml:space="preserve"> </w:t>
      </w:r>
      <w:r w:rsidRPr="00153E78">
        <w:rPr>
          <w:rFonts w:ascii="Arial" w:hAnsi="Arial" w:cs="Arial"/>
        </w:rPr>
        <w:t xml:space="preserve">The Mighty Middle - Growth and opportunity in the UK's mid-market. </w:t>
      </w:r>
      <w:proofErr w:type="gramStart"/>
      <w:r w:rsidRPr="00153E78">
        <w:rPr>
          <w:rFonts w:ascii="Arial" w:hAnsi="Arial" w:cs="Arial"/>
        </w:rPr>
        <w:t>London, GE C</w:t>
      </w:r>
      <w:r w:rsidR="003B422F">
        <w:rPr>
          <w:rFonts w:ascii="Arial" w:hAnsi="Arial" w:cs="Arial"/>
        </w:rPr>
        <w:t>apital/Warwick Business School.</w:t>
      </w:r>
      <w:proofErr w:type="gramEnd"/>
    </w:p>
  </w:endnote>
  <w:endnote w:id="4">
    <w:p w:rsidR="006301A4" w:rsidRPr="00153E78" w:rsidRDefault="006301A4" w:rsidP="003B422F">
      <w:pPr>
        <w:autoSpaceDE w:val="0"/>
        <w:autoSpaceDN w:val="0"/>
        <w:adjustRightInd w:val="0"/>
        <w:spacing w:before="240" w:after="0" w:line="240" w:lineRule="auto"/>
        <w:jc w:val="both"/>
        <w:rPr>
          <w:rFonts w:ascii="Arial" w:hAnsi="Arial" w:cs="Arial"/>
        </w:rPr>
      </w:pPr>
      <w:r w:rsidRPr="00153E78">
        <w:rPr>
          <w:rStyle w:val="EndnoteReference"/>
          <w:rFonts w:ascii="Arial" w:hAnsi="Arial" w:cs="Arial"/>
        </w:rPr>
        <w:endnoteRef/>
      </w:r>
      <w:r w:rsidRPr="00153E78">
        <w:rPr>
          <w:rFonts w:ascii="Arial" w:hAnsi="Arial" w:cs="Arial"/>
        </w:rPr>
        <w:t xml:space="preserve"> </w:t>
      </w:r>
      <w:proofErr w:type="spellStart"/>
      <w:r w:rsidR="00EE3602">
        <w:rPr>
          <w:rFonts w:ascii="Arial" w:hAnsi="Arial" w:cs="Arial"/>
        </w:rPr>
        <w:t>Cebulla</w:t>
      </w:r>
      <w:proofErr w:type="spellEnd"/>
      <w:r w:rsidR="00EE3602">
        <w:rPr>
          <w:rFonts w:ascii="Arial" w:hAnsi="Arial" w:cs="Arial"/>
        </w:rPr>
        <w:t>, A (2011)</w:t>
      </w:r>
      <w:r w:rsidR="00153E78" w:rsidRPr="00153E78">
        <w:rPr>
          <w:rFonts w:ascii="Arial" w:hAnsi="Arial" w:cs="Arial"/>
        </w:rPr>
        <w:t xml:space="preserve">, for example, estimated turnover per employee in UK MSBs in 2010 at €221,300 compared to: Finland (2009), €290,200; France (2007), €290,100; Germany (2009), €268,400; and, Sweden (2009), €301,400. </w:t>
      </w:r>
      <w:r w:rsidR="003B422F">
        <w:rPr>
          <w:rFonts w:ascii="Arial" w:hAnsi="Arial" w:cs="Arial"/>
        </w:rPr>
        <w:t xml:space="preserve"> </w:t>
      </w:r>
      <w:proofErr w:type="gramStart"/>
      <w:r w:rsidR="00153E78" w:rsidRPr="00153E78">
        <w:rPr>
          <w:rFonts w:ascii="Arial" w:hAnsi="Arial" w:cs="Arial"/>
        </w:rPr>
        <w:t>Mid-sized businesses in Finland, France, Germany, Sweden and the UK - General Statistics, National Institute o</w:t>
      </w:r>
      <w:r w:rsidR="003B422F">
        <w:rPr>
          <w:rFonts w:ascii="Arial" w:hAnsi="Arial" w:cs="Arial"/>
        </w:rPr>
        <w:t>f Economic and Social Research.</w:t>
      </w:r>
      <w:proofErr w:type="gramEnd"/>
    </w:p>
  </w:endnote>
  <w:endnote w:id="5">
    <w:p w:rsidR="00153E78" w:rsidRPr="00153E78" w:rsidRDefault="00153E78" w:rsidP="003B422F">
      <w:pPr>
        <w:pStyle w:val="EndnoteText"/>
        <w:spacing w:before="240"/>
        <w:jc w:val="both"/>
        <w:rPr>
          <w:rFonts w:cs="Arial"/>
          <w:sz w:val="22"/>
          <w:szCs w:val="22"/>
        </w:rPr>
      </w:pPr>
      <w:r w:rsidRPr="00153E78">
        <w:rPr>
          <w:rStyle w:val="EndnoteReference"/>
          <w:rFonts w:cs="Arial"/>
          <w:sz w:val="22"/>
          <w:szCs w:val="22"/>
        </w:rPr>
        <w:endnoteRef/>
      </w:r>
      <w:r w:rsidRPr="00153E78">
        <w:rPr>
          <w:rFonts w:cs="Arial"/>
          <w:sz w:val="22"/>
          <w:szCs w:val="22"/>
        </w:rPr>
        <w:t xml:space="preserve"> </w:t>
      </w:r>
      <w:proofErr w:type="gramStart"/>
      <w:r w:rsidRPr="00153E78">
        <w:rPr>
          <w:rFonts w:cs="Arial"/>
          <w:sz w:val="22"/>
          <w:szCs w:val="22"/>
        </w:rPr>
        <w:t>Hart, M. (2011).</w:t>
      </w:r>
      <w:proofErr w:type="gramEnd"/>
      <w:r w:rsidRPr="00153E78">
        <w:rPr>
          <w:rFonts w:cs="Arial"/>
          <w:sz w:val="22"/>
          <w:szCs w:val="22"/>
        </w:rPr>
        <w:t xml:space="preserve"> BIS MSB Research: Note on Regressions, Economics and Strategy Group, Aston Business School.</w:t>
      </w:r>
    </w:p>
  </w:endnote>
  <w:endnote w:id="6">
    <w:p w:rsidR="00153E78" w:rsidRPr="00153E78" w:rsidRDefault="00153E78" w:rsidP="003B422F">
      <w:pPr>
        <w:pStyle w:val="EndnoteText"/>
        <w:spacing w:before="240"/>
        <w:jc w:val="both"/>
        <w:rPr>
          <w:rFonts w:cs="Arial"/>
          <w:sz w:val="22"/>
          <w:szCs w:val="22"/>
        </w:rPr>
      </w:pPr>
      <w:r w:rsidRPr="00153E78">
        <w:rPr>
          <w:rStyle w:val="EndnoteReference"/>
          <w:rFonts w:cs="Arial"/>
          <w:sz w:val="22"/>
          <w:szCs w:val="22"/>
        </w:rPr>
        <w:endnoteRef/>
      </w:r>
      <w:r w:rsidRPr="00153E78">
        <w:rPr>
          <w:rFonts w:cs="Arial"/>
          <w:sz w:val="22"/>
          <w:szCs w:val="22"/>
        </w:rPr>
        <w:t xml:space="preserve"> </w:t>
      </w:r>
      <w:proofErr w:type="gramStart"/>
      <w:r w:rsidRPr="00153E78">
        <w:rPr>
          <w:rFonts w:cs="Arial"/>
          <w:sz w:val="22"/>
          <w:szCs w:val="22"/>
        </w:rPr>
        <w:t>CBI (2011).</w:t>
      </w:r>
      <w:proofErr w:type="gramEnd"/>
      <w:r w:rsidRPr="00153E78">
        <w:rPr>
          <w:rFonts w:cs="Arial"/>
          <w:sz w:val="22"/>
          <w:szCs w:val="22"/>
        </w:rPr>
        <w:t xml:space="preserve"> Future champions: Unlocking growth in the UK's mid-sized businesses. London, Confederation of British Industry</w:t>
      </w:r>
      <w:r w:rsidR="003B422F">
        <w:rPr>
          <w:rFonts w:cs="Arial"/>
          <w:sz w:val="22"/>
          <w:szCs w:val="22"/>
        </w:rPr>
        <w:t>.</w:t>
      </w:r>
    </w:p>
  </w:endnote>
  <w:endnote w:id="7">
    <w:p w:rsidR="00153E78" w:rsidRPr="00153E78" w:rsidRDefault="00153E78" w:rsidP="003B422F">
      <w:pPr>
        <w:autoSpaceDE w:val="0"/>
        <w:autoSpaceDN w:val="0"/>
        <w:adjustRightInd w:val="0"/>
        <w:spacing w:before="240" w:after="0" w:line="240" w:lineRule="auto"/>
        <w:jc w:val="both"/>
        <w:rPr>
          <w:rFonts w:ascii="Arial" w:hAnsi="Arial" w:cs="Arial"/>
        </w:rPr>
      </w:pPr>
      <w:r w:rsidRPr="00153E78">
        <w:rPr>
          <w:rStyle w:val="EndnoteReference"/>
          <w:rFonts w:ascii="Arial" w:hAnsi="Arial" w:cs="Arial"/>
        </w:rPr>
        <w:endnoteRef/>
      </w:r>
      <w:r w:rsidRPr="00153E78">
        <w:rPr>
          <w:rFonts w:ascii="Arial" w:hAnsi="Arial" w:cs="Arial"/>
        </w:rPr>
        <w:t xml:space="preserve"> </w:t>
      </w:r>
      <w:proofErr w:type="spellStart"/>
      <w:proofErr w:type="gramStart"/>
      <w:r w:rsidRPr="00153E78">
        <w:rPr>
          <w:rFonts w:ascii="Arial" w:hAnsi="Arial" w:cs="Arial"/>
        </w:rPr>
        <w:t>Livesey</w:t>
      </w:r>
      <w:proofErr w:type="spellEnd"/>
      <w:r w:rsidRPr="00153E78">
        <w:rPr>
          <w:rFonts w:ascii="Arial" w:hAnsi="Arial" w:cs="Arial"/>
        </w:rPr>
        <w:t>, F. and J. Thompson (2013).</w:t>
      </w:r>
      <w:proofErr w:type="gramEnd"/>
      <w:r w:rsidRPr="00153E78">
        <w:rPr>
          <w:rFonts w:ascii="Arial" w:hAnsi="Arial" w:cs="Arial"/>
        </w:rPr>
        <w:t xml:space="preserve"> </w:t>
      </w:r>
      <w:r w:rsidR="003B422F">
        <w:rPr>
          <w:rFonts w:ascii="Arial" w:hAnsi="Arial" w:cs="Arial"/>
        </w:rPr>
        <w:t xml:space="preserve"> </w:t>
      </w:r>
      <w:r w:rsidRPr="00153E78">
        <w:rPr>
          <w:rFonts w:ascii="Arial" w:hAnsi="Arial" w:cs="Arial"/>
        </w:rPr>
        <w:t>Making at home, owning abroad</w:t>
      </w:r>
      <w:r w:rsidR="003B422F">
        <w:rPr>
          <w:rFonts w:ascii="Arial" w:hAnsi="Arial" w:cs="Arial"/>
        </w:rPr>
        <w:t xml:space="preserve"> London, RSA/Lloyds Bank Group.</w:t>
      </w:r>
    </w:p>
  </w:endnote>
  <w:endnote w:id="8">
    <w:p w:rsidR="006378D4" w:rsidRPr="00153E78" w:rsidRDefault="006378D4" w:rsidP="003B422F">
      <w:pPr>
        <w:pStyle w:val="EndnoteText"/>
        <w:spacing w:before="240"/>
        <w:jc w:val="both"/>
        <w:rPr>
          <w:rFonts w:cs="Arial"/>
          <w:sz w:val="22"/>
          <w:szCs w:val="22"/>
        </w:rPr>
      </w:pPr>
      <w:r w:rsidRPr="00153E78">
        <w:rPr>
          <w:rStyle w:val="EndnoteReference"/>
          <w:rFonts w:cs="Arial"/>
          <w:sz w:val="22"/>
          <w:szCs w:val="22"/>
        </w:rPr>
        <w:endnoteRef/>
      </w:r>
      <w:r w:rsidRPr="00153E78">
        <w:rPr>
          <w:rFonts w:cs="Arial"/>
          <w:sz w:val="22"/>
          <w:szCs w:val="22"/>
        </w:rPr>
        <w:t xml:space="preserve"> Simon, H. (1996</w:t>
      </w:r>
      <w:r w:rsidRPr="00EE3602">
        <w:rPr>
          <w:rFonts w:cs="Arial"/>
          <w:sz w:val="22"/>
          <w:szCs w:val="22"/>
        </w:rPr>
        <w:t xml:space="preserve">). Hidden champions - lessons from 500 of the world's best unknown companies. </w:t>
      </w:r>
      <w:r w:rsidR="003B422F">
        <w:rPr>
          <w:rFonts w:cs="Arial"/>
          <w:sz w:val="22"/>
          <w:szCs w:val="22"/>
        </w:rPr>
        <w:t xml:space="preserve"> </w:t>
      </w:r>
      <w:proofErr w:type="gramStart"/>
      <w:r w:rsidRPr="00153E78">
        <w:rPr>
          <w:rFonts w:cs="Arial"/>
          <w:sz w:val="22"/>
          <w:szCs w:val="22"/>
        </w:rPr>
        <w:t>Boston, MA, Harvard Business School Press.</w:t>
      </w:r>
      <w:proofErr w:type="gramEnd"/>
    </w:p>
  </w:endnote>
  <w:endnote w:id="9">
    <w:p w:rsidR="006378D4" w:rsidRPr="00153E78" w:rsidRDefault="006378D4" w:rsidP="003B422F">
      <w:pPr>
        <w:pStyle w:val="EndnoteText"/>
        <w:spacing w:before="240"/>
        <w:jc w:val="both"/>
        <w:rPr>
          <w:rFonts w:cs="Arial"/>
          <w:sz w:val="22"/>
          <w:szCs w:val="22"/>
        </w:rPr>
      </w:pPr>
      <w:r w:rsidRPr="00153E78">
        <w:rPr>
          <w:rStyle w:val="EndnoteReference"/>
          <w:rFonts w:cs="Arial"/>
          <w:sz w:val="22"/>
          <w:szCs w:val="22"/>
        </w:rPr>
        <w:endnoteRef/>
      </w:r>
      <w:r w:rsidRPr="00153E78">
        <w:rPr>
          <w:rFonts w:cs="Arial"/>
          <w:sz w:val="22"/>
          <w:szCs w:val="22"/>
        </w:rPr>
        <w:t xml:space="preserve"> </w:t>
      </w:r>
      <w:proofErr w:type="spellStart"/>
      <w:proofErr w:type="gramStart"/>
      <w:r w:rsidRPr="00153E78">
        <w:rPr>
          <w:rFonts w:cs="Arial"/>
          <w:sz w:val="22"/>
          <w:szCs w:val="22"/>
        </w:rPr>
        <w:t>Venohr</w:t>
      </w:r>
      <w:proofErr w:type="spellEnd"/>
      <w:r w:rsidRPr="00153E78">
        <w:rPr>
          <w:rFonts w:cs="Arial"/>
          <w:sz w:val="22"/>
          <w:szCs w:val="22"/>
        </w:rPr>
        <w:t>, B. and K. E. Mayer (2007).</w:t>
      </w:r>
      <w:proofErr w:type="gramEnd"/>
      <w:r w:rsidRPr="00153E78">
        <w:rPr>
          <w:rFonts w:cs="Arial"/>
          <w:sz w:val="22"/>
          <w:szCs w:val="22"/>
        </w:rPr>
        <w:t xml:space="preserve"> "The German miracle keeps running: How </w:t>
      </w:r>
      <w:proofErr w:type="spellStart"/>
      <w:r w:rsidRPr="00153E78">
        <w:rPr>
          <w:rFonts w:cs="Arial"/>
          <w:sz w:val="22"/>
          <w:szCs w:val="22"/>
        </w:rPr>
        <w:t>Gemany's</w:t>
      </w:r>
      <w:proofErr w:type="spellEnd"/>
      <w:r w:rsidRPr="00153E78">
        <w:rPr>
          <w:rFonts w:cs="Arial"/>
          <w:sz w:val="22"/>
          <w:szCs w:val="22"/>
        </w:rPr>
        <w:t xml:space="preserve"> hidden champions stay ahead in the global economy " </w:t>
      </w:r>
      <w:r w:rsidRPr="00EE3602">
        <w:rPr>
          <w:rFonts w:cs="Arial"/>
          <w:sz w:val="22"/>
          <w:szCs w:val="22"/>
        </w:rPr>
        <w:t>mimeo.</w:t>
      </w:r>
    </w:p>
  </w:endnote>
  <w:endnote w:id="10">
    <w:p w:rsidR="00C678B3" w:rsidRPr="00153E78" w:rsidRDefault="00C678B3" w:rsidP="003B422F">
      <w:pPr>
        <w:pStyle w:val="EndnoteText"/>
        <w:spacing w:before="240"/>
        <w:jc w:val="both"/>
        <w:rPr>
          <w:rFonts w:cs="Arial"/>
          <w:sz w:val="22"/>
          <w:szCs w:val="22"/>
        </w:rPr>
      </w:pPr>
      <w:r w:rsidRPr="00153E78">
        <w:rPr>
          <w:rStyle w:val="EndnoteReference"/>
          <w:rFonts w:cs="Arial"/>
          <w:sz w:val="22"/>
          <w:szCs w:val="22"/>
        </w:rPr>
        <w:endnoteRef/>
      </w:r>
      <w:r w:rsidRPr="00153E78">
        <w:rPr>
          <w:rFonts w:cs="Arial"/>
          <w:sz w:val="22"/>
          <w:szCs w:val="22"/>
        </w:rPr>
        <w:t xml:space="preserve"> HMT (2013) Plan for growth implementation update – March 2013, p. 33.</w:t>
      </w:r>
    </w:p>
  </w:endnote>
  <w:endnote w:id="11">
    <w:p w:rsidR="00CD086D" w:rsidRPr="00153E78" w:rsidRDefault="00CD086D" w:rsidP="003B422F">
      <w:pPr>
        <w:pStyle w:val="EndnoteText"/>
        <w:spacing w:before="240"/>
        <w:jc w:val="both"/>
        <w:rPr>
          <w:rFonts w:cs="Arial"/>
          <w:sz w:val="22"/>
          <w:szCs w:val="22"/>
        </w:rPr>
      </w:pPr>
      <w:r w:rsidRPr="00153E78">
        <w:rPr>
          <w:rStyle w:val="EndnoteReference"/>
          <w:rFonts w:cs="Arial"/>
          <w:sz w:val="22"/>
          <w:szCs w:val="22"/>
        </w:rPr>
        <w:endnoteRef/>
      </w:r>
      <w:r w:rsidRPr="00153E78">
        <w:rPr>
          <w:rFonts w:cs="Arial"/>
          <w:sz w:val="22"/>
          <w:szCs w:val="22"/>
        </w:rPr>
        <w:t xml:space="preserve"> HMT (2013) Plan for growth implementation update – March 2013, p. 34.</w:t>
      </w:r>
    </w:p>
  </w:endnote>
  <w:endnote w:id="12">
    <w:p w:rsidR="00DF33C8" w:rsidRPr="00153E78" w:rsidRDefault="00DF33C8" w:rsidP="003B422F">
      <w:pPr>
        <w:pStyle w:val="EndnoteText"/>
        <w:spacing w:before="240"/>
        <w:jc w:val="both"/>
        <w:rPr>
          <w:rFonts w:cs="Arial"/>
          <w:sz w:val="22"/>
          <w:szCs w:val="22"/>
        </w:rPr>
      </w:pPr>
      <w:r w:rsidRPr="00153E78">
        <w:rPr>
          <w:rStyle w:val="EndnoteReference"/>
          <w:rFonts w:cs="Arial"/>
          <w:sz w:val="22"/>
          <w:szCs w:val="22"/>
        </w:rPr>
        <w:endnoteRef/>
      </w:r>
      <w:r w:rsidRPr="00153E78">
        <w:rPr>
          <w:rFonts w:cs="Arial"/>
          <w:sz w:val="22"/>
          <w:szCs w:val="22"/>
        </w:rPr>
        <w:t xml:space="preserve"> Department for Business Innovation and Skills (2012) ‘Business School MSB Task Force’, p.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416091"/>
      <w:docPartObj>
        <w:docPartGallery w:val="Page Numbers (Bottom of Page)"/>
        <w:docPartUnique/>
      </w:docPartObj>
    </w:sdtPr>
    <w:sdtEndPr>
      <w:rPr>
        <w:noProof/>
      </w:rPr>
    </w:sdtEndPr>
    <w:sdtContent>
      <w:p w:rsidR="00896717" w:rsidRDefault="00D957BC">
        <w:pPr>
          <w:pStyle w:val="Footer"/>
          <w:jc w:val="center"/>
        </w:pPr>
        <w:r>
          <w:fldChar w:fldCharType="begin"/>
        </w:r>
        <w:r w:rsidR="00896717">
          <w:instrText xml:space="preserve"> PAGE   \* MERGEFORMAT </w:instrText>
        </w:r>
        <w:r>
          <w:fldChar w:fldCharType="separate"/>
        </w:r>
        <w:r w:rsidR="009560A3">
          <w:rPr>
            <w:noProof/>
          </w:rPr>
          <w:t>4</w:t>
        </w:r>
        <w:r>
          <w:rPr>
            <w:noProof/>
          </w:rPr>
          <w:fldChar w:fldCharType="end"/>
        </w:r>
      </w:p>
    </w:sdtContent>
  </w:sdt>
  <w:p w:rsidR="00896717" w:rsidRDefault="008967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00" w:rsidRDefault="00A51A00" w:rsidP="00764258">
      <w:pPr>
        <w:spacing w:after="0" w:line="240" w:lineRule="auto"/>
      </w:pPr>
      <w:r>
        <w:separator/>
      </w:r>
    </w:p>
  </w:footnote>
  <w:footnote w:type="continuationSeparator" w:id="0">
    <w:p w:rsidR="00A51A00" w:rsidRDefault="00A51A00" w:rsidP="00764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978" w:rsidRDefault="00A06978" w:rsidP="00A06978">
    <w:pPr>
      <w:pStyle w:val="Header"/>
      <w:jc w:val="right"/>
    </w:pPr>
    <w:r>
      <w:rPr>
        <w:noProof/>
        <w:lang w:eastAsia="en-GB"/>
      </w:rPr>
      <w:drawing>
        <wp:inline distT="0" distB="0" distL="0" distR="0">
          <wp:extent cx="1187552" cy="50891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_RGB.jpg"/>
                  <pic:cNvPicPr/>
                </pic:nvPicPr>
                <pic:blipFill>
                  <a:blip r:embed="rId1">
                    <a:extLst>
                      <a:ext uri="{28A0092B-C50C-407E-A947-70E740481C1C}">
                        <a14:useLocalDpi xmlns:a14="http://schemas.microsoft.com/office/drawing/2010/main" val="0"/>
                      </a:ext>
                    </a:extLst>
                  </a:blip>
                  <a:stretch>
                    <a:fillRect/>
                  </a:stretch>
                </pic:blipFill>
                <pic:spPr>
                  <a:xfrm>
                    <a:off x="0" y="0"/>
                    <a:ext cx="1189591" cy="509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7982"/>
    <w:multiLevelType w:val="hybridMultilevel"/>
    <w:tmpl w:val="5A527B94"/>
    <w:lvl w:ilvl="0" w:tplc="C2D271AC">
      <w:start w:val="1"/>
      <w:numFmt w:val="bullet"/>
      <w:lvlText w:val="-"/>
      <w:lvlJc w:val="left"/>
      <w:pPr>
        <w:ind w:left="1860" w:hanging="360"/>
      </w:pPr>
      <w:rPr>
        <w:rFonts w:ascii="Arial" w:eastAsiaTheme="minorHAnsi" w:hAnsi="Arial" w:cs="Aria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nsid w:val="179F6EDC"/>
    <w:multiLevelType w:val="hybridMultilevel"/>
    <w:tmpl w:val="64161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D66124"/>
    <w:multiLevelType w:val="hybridMultilevel"/>
    <w:tmpl w:val="DC02D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D625AED"/>
    <w:multiLevelType w:val="hybridMultilevel"/>
    <w:tmpl w:val="10E44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071FE9"/>
    <w:multiLevelType w:val="hybridMultilevel"/>
    <w:tmpl w:val="ABB23D64"/>
    <w:lvl w:ilvl="0" w:tplc="8918ED22">
      <w:start w:val="1"/>
      <w:numFmt w:val="bullet"/>
      <w:lvlText w:val="•"/>
      <w:lvlJc w:val="left"/>
      <w:pPr>
        <w:tabs>
          <w:tab w:val="num" w:pos="720"/>
        </w:tabs>
        <w:ind w:left="720" w:hanging="360"/>
      </w:pPr>
      <w:rPr>
        <w:rFonts w:ascii="Arial" w:hAnsi="Arial" w:hint="default"/>
      </w:rPr>
    </w:lvl>
    <w:lvl w:ilvl="1" w:tplc="E6E0B8A8">
      <w:start w:val="571"/>
      <w:numFmt w:val="bullet"/>
      <w:lvlText w:val="–"/>
      <w:lvlJc w:val="left"/>
      <w:pPr>
        <w:tabs>
          <w:tab w:val="num" w:pos="1440"/>
        </w:tabs>
        <w:ind w:left="1440" w:hanging="360"/>
      </w:pPr>
      <w:rPr>
        <w:rFonts w:ascii="Arial" w:hAnsi="Arial" w:hint="default"/>
      </w:rPr>
    </w:lvl>
    <w:lvl w:ilvl="2" w:tplc="B99632EA" w:tentative="1">
      <w:start w:val="1"/>
      <w:numFmt w:val="bullet"/>
      <w:lvlText w:val="•"/>
      <w:lvlJc w:val="left"/>
      <w:pPr>
        <w:tabs>
          <w:tab w:val="num" w:pos="2160"/>
        </w:tabs>
        <w:ind w:left="2160" w:hanging="360"/>
      </w:pPr>
      <w:rPr>
        <w:rFonts w:ascii="Arial" w:hAnsi="Arial" w:hint="default"/>
      </w:rPr>
    </w:lvl>
    <w:lvl w:ilvl="3" w:tplc="CA582C2A" w:tentative="1">
      <w:start w:val="1"/>
      <w:numFmt w:val="bullet"/>
      <w:lvlText w:val="•"/>
      <w:lvlJc w:val="left"/>
      <w:pPr>
        <w:tabs>
          <w:tab w:val="num" w:pos="2880"/>
        </w:tabs>
        <w:ind w:left="2880" w:hanging="360"/>
      </w:pPr>
      <w:rPr>
        <w:rFonts w:ascii="Arial" w:hAnsi="Arial" w:hint="default"/>
      </w:rPr>
    </w:lvl>
    <w:lvl w:ilvl="4" w:tplc="CD582AC0" w:tentative="1">
      <w:start w:val="1"/>
      <w:numFmt w:val="bullet"/>
      <w:lvlText w:val="•"/>
      <w:lvlJc w:val="left"/>
      <w:pPr>
        <w:tabs>
          <w:tab w:val="num" w:pos="3600"/>
        </w:tabs>
        <w:ind w:left="3600" w:hanging="360"/>
      </w:pPr>
      <w:rPr>
        <w:rFonts w:ascii="Arial" w:hAnsi="Arial" w:hint="default"/>
      </w:rPr>
    </w:lvl>
    <w:lvl w:ilvl="5" w:tplc="8474C0A2" w:tentative="1">
      <w:start w:val="1"/>
      <w:numFmt w:val="bullet"/>
      <w:lvlText w:val="•"/>
      <w:lvlJc w:val="left"/>
      <w:pPr>
        <w:tabs>
          <w:tab w:val="num" w:pos="4320"/>
        </w:tabs>
        <w:ind w:left="4320" w:hanging="360"/>
      </w:pPr>
      <w:rPr>
        <w:rFonts w:ascii="Arial" w:hAnsi="Arial" w:hint="default"/>
      </w:rPr>
    </w:lvl>
    <w:lvl w:ilvl="6" w:tplc="92740532" w:tentative="1">
      <w:start w:val="1"/>
      <w:numFmt w:val="bullet"/>
      <w:lvlText w:val="•"/>
      <w:lvlJc w:val="left"/>
      <w:pPr>
        <w:tabs>
          <w:tab w:val="num" w:pos="5040"/>
        </w:tabs>
        <w:ind w:left="5040" w:hanging="360"/>
      </w:pPr>
      <w:rPr>
        <w:rFonts w:ascii="Arial" w:hAnsi="Arial" w:hint="default"/>
      </w:rPr>
    </w:lvl>
    <w:lvl w:ilvl="7" w:tplc="9FA89468" w:tentative="1">
      <w:start w:val="1"/>
      <w:numFmt w:val="bullet"/>
      <w:lvlText w:val="•"/>
      <w:lvlJc w:val="left"/>
      <w:pPr>
        <w:tabs>
          <w:tab w:val="num" w:pos="5760"/>
        </w:tabs>
        <w:ind w:left="5760" w:hanging="360"/>
      </w:pPr>
      <w:rPr>
        <w:rFonts w:ascii="Arial" w:hAnsi="Arial" w:hint="default"/>
      </w:rPr>
    </w:lvl>
    <w:lvl w:ilvl="8" w:tplc="C71C32BA" w:tentative="1">
      <w:start w:val="1"/>
      <w:numFmt w:val="bullet"/>
      <w:lvlText w:val="•"/>
      <w:lvlJc w:val="left"/>
      <w:pPr>
        <w:tabs>
          <w:tab w:val="num" w:pos="6480"/>
        </w:tabs>
        <w:ind w:left="6480" w:hanging="360"/>
      </w:pPr>
      <w:rPr>
        <w:rFonts w:ascii="Arial" w:hAnsi="Arial" w:hint="default"/>
      </w:rPr>
    </w:lvl>
  </w:abstractNum>
  <w:abstractNum w:abstractNumId="5">
    <w:nsid w:val="4F5D63B7"/>
    <w:multiLevelType w:val="hybridMultilevel"/>
    <w:tmpl w:val="43709CFC"/>
    <w:lvl w:ilvl="0" w:tplc="05328C68">
      <w:start w:val="1"/>
      <w:numFmt w:val="bullet"/>
      <w:lvlText w:val="•"/>
      <w:lvlJc w:val="left"/>
      <w:pPr>
        <w:tabs>
          <w:tab w:val="num" w:pos="720"/>
        </w:tabs>
        <w:ind w:left="720" w:hanging="360"/>
      </w:pPr>
      <w:rPr>
        <w:rFonts w:ascii="Arial" w:hAnsi="Arial" w:hint="default"/>
      </w:rPr>
    </w:lvl>
    <w:lvl w:ilvl="1" w:tplc="0A0A689E" w:tentative="1">
      <w:start w:val="1"/>
      <w:numFmt w:val="bullet"/>
      <w:lvlText w:val="•"/>
      <w:lvlJc w:val="left"/>
      <w:pPr>
        <w:tabs>
          <w:tab w:val="num" w:pos="1440"/>
        </w:tabs>
        <w:ind w:left="1440" w:hanging="360"/>
      </w:pPr>
      <w:rPr>
        <w:rFonts w:ascii="Arial" w:hAnsi="Arial" w:hint="default"/>
      </w:rPr>
    </w:lvl>
    <w:lvl w:ilvl="2" w:tplc="CB8A2ABA" w:tentative="1">
      <w:start w:val="1"/>
      <w:numFmt w:val="bullet"/>
      <w:lvlText w:val="•"/>
      <w:lvlJc w:val="left"/>
      <w:pPr>
        <w:tabs>
          <w:tab w:val="num" w:pos="2160"/>
        </w:tabs>
        <w:ind w:left="2160" w:hanging="360"/>
      </w:pPr>
      <w:rPr>
        <w:rFonts w:ascii="Arial" w:hAnsi="Arial" w:hint="default"/>
      </w:rPr>
    </w:lvl>
    <w:lvl w:ilvl="3" w:tplc="883CEF06" w:tentative="1">
      <w:start w:val="1"/>
      <w:numFmt w:val="bullet"/>
      <w:lvlText w:val="•"/>
      <w:lvlJc w:val="left"/>
      <w:pPr>
        <w:tabs>
          <w:tab w:val="num" w:pos="2880"/>
        </w:tabs>
        <w:ind w:left="2880" w:hanging="360"/>
      </w:pPr>
      <w:rPr>
        <w:rFonts w:ascii="Arial" w:hAnsi="Arial" w:hint="default"/>
      </w:rPr>
    </w:lvl>
    <w:lvl w:ilvl="4" w:tplc="423666F2" w:tentative="1">
      <w:start w:val="1"/>
      <w:numFmt w:val="bullet"/>
      <w:lvlText w:val="•"/>
      <w:lvlJc w:val="left"/>
      <w:pPr>
        <w:tabs>
          <w:tab w:val="num" w:pos="3600"/>
        </w:tabs>
        <w:ind w:left="3600" w:hanging="360"/>
      </w:pPr>
      <w:rPr>
        <w:rFonts w:ascii="Arial" w:hAnsi="Arial" w:hint="default"/>
      </w:rPr>
    </w:lvl>
    <w:lvl w:ilvl="5" w:tplc="EF32F972" w:tentative="1">
      <w:start w:val="1"/>
      <w:numFmt w:val="bullet"/>
      <w:lvlText w:val="•"/>
      <w:lvlJc w:val="left"/>
      <w:pPr>
        <w:tabs>
          <w:tab w:val="num" w:pos="4320"/>
        </w:tabs>
        <w:ind w:left="4320" w:hanging="360"/>
      </w:pPr>
      <w:rPr>
        <w:rFonts w:ascii="Arial" w:hAnsi="Arial" w:hint="default"/>
      </w:rPr>
    </w:lvl>
    <w:lvl w:ilvl="6" w:tplc="2FB0CAD8" w:tentative="1">
      <w:start w:val="1"/>
      <w:numFmt w:val="bullet"/>
      <w:lvlText w:val="•"/>
      <w:lvlJc w:val="left"/>
      <w:pPr>
        <w:tabs>
          <w:tab w:val="num" w:pos="5040"/>
        </w:tabs>
        <w:ind w:left="5040" w:hanging="360"/>
      </w:pPr>
      <w:rPr>
        <w:rFonts w:ascii="Arial" w:hAnsi="Arial" w:hint="default"/>
      </w:rPr>
    </w:lvl>
    <w:lvl w:ilvl="7" w:tplc="51CEC92E" w:tentative="1">
      <w:start w:val="1"/>
      <w:numFmt w:val="bullet"/>
      <w:lvlText w:val="•"/>
      <w:lvlJc w:val="left"/>
      <w:pPr>
        <w:tabs>
          <w:tab w:val="num" w:pos="5760"/>
        </w:tabs>
        <w:ind w:left="5760" w:hanging="360"/>
      </w:pPr>
      <w:rPr>
        <w:rFonts w:ascii="Arial" w:hAnsi="Arial" w:hint="default"/>
      </w:rPr>
    </w:lvl>
    <w:lvl w:ilvl="8" w:tplc="7CC86E2A" w:tentative="1">
      <w:start w:val="1"/>
      <w:numFmt w:val="bullet"/>
      <w:lvlText w:val="•"/>
      <w:lvlJc w:val="left"/>
      <w:pPr>
        <w:tabs>
          <w:tab w:val="num" w:pos="6480"/>
        </w:tabs>
        <w:ind w:left="6480" w:hanging="360"/>
      </w:pPr>
      <w:rPr>
        <w:rFonts w:ascii="Arial" w:hAnsi="Arial" w:hint="default"/>
      </w:rPr>
    </w:lvl>
  </w:abstractNum>
  <w:abstractNum w:abstractNumId="6">
    <w:nsid w:val="509827E1"/>
    <w:multiLevelType w:val="hybridMultilevel"/>
    <w:tmpl w:val="592ED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612D34"/>
    <w:multiLevelType w:val="hybridMultilevel"/>
    <w:tmpl w:val="CD3C0400"/>
    <w:lvl w:ilvl="0" w:tplc="C2D271AC">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660" w:hanging="360"/>
      </w:pPr>
      <w:rPr>
        <w:rFonts w:ascii="Courier New" w:hAnsi="Courier New" w:cs="Courier New" w:hint="default"/>
      </w:rPr>
    </w:lvl>
    <w:lvl w:ilvl="2" w:tplc="08090005">
      <w:start w:val="1"/>
      <w:numFmt w:val="bullet"/>
      <w:lvlText w:val=""/>
      <w:lvlJc w:val="left"/>
      <w:pPr>
        <w:ind w:left="1380" w:hanging="360"/>
      </w:pPr>
      <w:rPr>
        <w:rFonts w:ascii="Wingdings" w:hAnsi="Wingdings" w:hint="default"/>
      </w:rPr>
    </w:lvl>
    <w:lvl w:ilvl="3" w:tplc="08090001" w:tentative="1">
      <w:start w:val="1"/>
      <w:numFmt w:val="bullet"/>
      <w:lvlText w:val=""/>
      <w:lvlJc w:val="left"/>
      <w:pPr>
        <w:ind w:left="2100" w:hanging="360"/>
      </w:pPr>
      <w:rPr>
        <w:rFonts w:ascii="Symbol" w:hAnsi="Symbol" w:hint="default"/>
      </w:rPr>
    </w:lvl>
    <w:lvl w:ilvl="4" w:tplc="08090003" w:tentative="1">
      <w:start w:val="1"/>
      <w:numFmt w:val="bullet"/>
      <w:lvlText w:val="o"/>
      <w:lvlJc w:val="left"/>
      <w:pPr>
        <w:ind w:left="2820" w:hanging="360"/>
      </w:pPr>
      <w:rPr>
        <w:rFonts w:ascii="Courier New" w:hAnsi="Courier New" w:cs="Courier New" w:hint="default"/>
      </w:rPr>
    </w:lvl>
    <w:lvl w:ilvl="5" w:tplc="08090005" w:tentative="1">
      <w:start w:val="1"/>
      <w:numFmt w:val="bullet"/>
      <w:lvlText w:val=""/>
      <w:lvlJc w:val="left"/>
      <w:pPr>
        <w:ind w:left="3540" w:hanging="360"/>
      </w:pPr>
      <w:rPr>
        <w:rFonts w:ascii="Wingdings" w:hAnsi="Wingdings" w:hint="default"/>
      </w:rPr>
    </w:lvl>
    <w:lvl w:ilvl="6" w:tplc="08090001" w:tentative="1">
      <w:start w:val="1"/>
      <w:numFmt w:val="bullet"/>
      <w:lvlText w:val=""/>
      <w:lvlJc w:val="left"/>
      <w:pPr>
        <w:ind w:left="4260" w:hanging="360"/>
      </w:pPr>
      <w:rPr>
        <w:rFonts w:ascii="Symbol" w:hAnsi="Symbol" w:hint="default"/>
      </w:rPr>
    </w:lvl>
    <w:lvl w:ilvl="7" w:tplc="08090003" w:tentative="1">
      <w:start w:val="1"/>
      <w:numFmt w:val="bullet"/>
      <w:lvlText w:val="o"/>
      <w:lvlJc w:val="left"/>
      <w:pPr>
        <w:ind w:left="4980" w:hanging="360"/>
      </w:pPr>
      <w:rPr>
        <w:rFonts w:ascii="Courier New" w:hAnsi="Courier New" w:cs="Courier New" w:hint="default"/>
      </w:rPr>
    </w:lvl>
    <w:lvl w:ilvl="8" w:tplc="08090005" w:tentative="1">
      <w:start w:val="1"/>
      <w:numFmt w:val="bullet"/>
      <w:lvlText w:val=""/>
      <w:lvlJc w:val="left"/>
      <w:pPr>
        <w:ind w:left="5700" w:hanging="360"/>
      </w:pPr>
      <w:rPr>
        <w:rFonts w:ascii="Wingdings" w:hAnsi="Wingdings" w:hint="default"/>
      </w:rPr>
    </w:lvl>
  </w:abstractNum>
  <w:abstractNum w:abstractNumId="8">
    <w:nsid w:val="647517D1"/>
    <w:multiLevelType w:val="hybridMultilevel"/>
    <w:tmpl w:val="D9D2E3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87F7D35"/>
    <w:multiLevelType w:val="hybridMultilevel"/>
    <w:tmpl w:val="3F6EBDF0"/>
    <w:lvl w:ilvl="0" w:tplc="55AC3D5E">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1"/>
  </w:num>
  <w:num w:numId="5">
    <w:abstractNumId w:val="6"/>
  </w:num>
  <w:num w:numId="6">
    <w:abstractNumId w:val="5"/>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vsxat9wbd950ve99v5x2vtvwxdrfeerrpfp&quot;&gt;references&lt;record-ids&gt;&lt;item&gt;2417&lt;/item&gt;&lt;/record-ids&gt;&lt;/item&gt;&lt;/Libraries&gt;"/>
  </w:docVars>
  <w:rsids>
    <w:rsidRoot w:val="004414BF"/>
    <w:rsid w:val="000017C7"/>
    <w:rsid w:val="000320F4"/>
    <w:rsid w:val="00036EA9"/>
    <w:rsid w:val="00037477"/>
    <w:rsid w:val="00037B94"/>
    <w:rsid w:val="00075ADA"/>
    <w:rsid w:val="000862E5"/>
    <w:rsid w:val="0009274B"/>
    <w:rsid w:val="000A0233"/>
    <w:rsid w:val="000A3309"/>
    <w:rsid w:val="000A628F"/>
    <w:rsid w:val="000B2D22"/>
    <w:rsid w:val="000E1F67"/>
    <w:rsid w:val="000E3331"/>
    <w:rsid w:val="000E537A"/>
    <w:rsid w:val="000E654A"/>
    <w:rsid w:val="000E73B5"/>
    <w:rsid w:val="000F25CB"/>
    <w:rsid w:val="001055FE"/>
    <w:rsid w:val="001065E5"/>
    <w:rsid w:val="00127113"/>
    <w:rsid w:val="00137D72"/>
    <w:rsid w:val="00145C9A"/>
    <w:rsid w:val="00153E78"/>
    <w:rsid w:val="001608B9"/>
    <w:rsid w:val="00182703"/>
    <w:rsid w:val="00183DA5"/>
    <w:rsid w:val="001844C5"/>
    <w:rsid w:val="0018616B"/>
    <w:rsid w:val="00192DE8"/>
    <w:rsid w:val="001B0FE6"/>
    <w:rsid w:val="001B1EEC"/>
    <w:rsid w:val="001C3301"/>
    <w:rsid w:val="001C7194"/>
    <w:rsid w:val="001E64FA"/>
    <w:rsid w:val="001F6EB5"/>
    <w:rsid w:val="00233D21"/>
    <w:rsid w:val="00235615"/>
    <w:rsid w:val="00236C5B"/>
    <w:rsid w:val="00266317"/>
    <w:rsid w:val="0027451C"/>
    <w:rsid w:val="00277295"/>
    <w:rsid w:val="00287FC4"/>
    <w:rsid w:val="00293854"/>
    <w:rsid w:val="002A09B8"/>
    <w:rsid w:val="002A1343"/>
    <w:rsid w:val="002A4B38"/>
    <w:rsid w:val="002C5B30"/>
    <w:rsid w:val="002E4526"/>
    <w:rsid w:val="002E6B0A"/>
    <w:rsid w:val="00307550"/>
    <w:rsid w:val="0031095C"/>
    <w:rsid w:val="00337F11"/>
    <w:rsid w:val="0038256C"/>
    <w:rsid w:val="003906E8"/>
    <w:rsid w:val="00392957"/>
    <w:rsid w:val="003B2CC8"/>
    <w:rsid w:val="003B422F"/>
    <w:rsid w:val="003B5AC2"/>
    <w:rsid w:val="003C0EE2"/>
    <w:rsid w:val="003E5DB2"/>
    <w:rsid w:val="003F2E99"/>
    <w:rsid w:val="00413FFD"/>
    <w:rsid w:val="004248D7"/>
    <w:rsid w:val="00431993"/>
    <w:rsid w:val="004414BF"/>
    <w:rsid w:val="00454ACF"/>
    <w:rsid w:val="00475142"/>
    <w:rsid w:val="00485A7C"/>
    <w:rsid w:val="004947A5"/>
    <w:rsid w:val="004A0585"/>
    <w:rsid w:val="004C7ADE"/>
    <w:rsid w:val="004D2F98"/>
    <w:rsid w:val="004D4744"/>
    <w:rsid w:val="004E1142"/>
    <w:rsid w:val="004E1317"/>
    <w:rsid w:val="00542483"/>
    <w:rsid w:val="0054788E"/>
    <w:rsid w:val="005658E6"/>
    <w:rsid w:val="00576734"/>
    <w:rsid w:val="005843EF"/>
    <w:rsid w:val="005A2E6D"/>
    <w:rsid w:val="005F5524"/>
    <w:rsid w:val="005F67FB"/>
    <w:rsid w:val="006216F1"/>
    <w:rsid w:val="006301A4"/>
    <w:rsid w:val="0063109A"/>
    <w:rsid w:val="006338E2"/>
    <w:rsid w:val="006341C0"/>
    <w:rsid w:val="00635F16"/>
    <w:rsid w:val="006378D4"/>
    <w:rsid w:val="0065104D"/>
    <w:rsid w:val="00654801"/>
    <w:rsid w:val="0067539F"/>
    <w:rsid w:val="006D02CE"/>
    <w:rsid w:val="006D4039"/>
    <w:rsid w:val="006E631C"/>
    <w:rsid w:val="00712767"/>
    <w:rsid w:val="0073259C"/>
    <w:rsid w:val="0073716A"/>
    <w:rsid w:val="00745B97"/>
    <w:rsid w:val="0075387D"/>
    <w:rsid w:val="00764258"/>
    <w:rsid w:val="00772AA8"/>
    <w:rsid w:val="00791A6E"/>
    <w:rsid w:val="007A4197"/>
    <w:rsid w:val="007A6AA7"/>
    <w:rsid w:val="007C05BF"/>
    <w:rsid w:val="008428C4"/>
    <w:rsid w:val="0085241E"/>
    <w:rsid w:val="008744B6"/>
    <w:rsid w:val="00877352"/>
    <w:rsid w:val="00880621"/>
    <w:rsid w:val="0089491E"/>
    <w:rsid w:val="00896717"/>
    <w:rsid w:val="008E11D9"/>
    <w:rsid w:val="008F2BED"/>
    <w:rsid w:val="008F35D4"/>
    <w:rsid w:val="00900E1D"/>
    <w:rsid w:val="00934590"/>
    <w:rsid w:val="009560A3"/>
    <w:rsid w:val="00964C72"/>
    <w:rsid w:val="0096731B"/>
    <w:rsid w:val="009675D7"/>
    <w:rsid w:val="00981BA3"/>
    <w:rsid w:val="00990068"/>
    <w:rsid w:val="0099214C"/>
    <w:rsid w:val="00992304"/>
    <w:rsid w:val="009A0B97"/>
    <w:rsid w:val="009C1C98"/>
    <w:rsid w:val="009E0DC5"/>
    <w:rsid w:val="009E5BC3"/>
    <w:rsid w:val="00A06978"/>
    <w:rsid w:val="00A11113"/>
    <w:rsid w:val="00A27BD7"/>
    <w:rsid w:val="00A37130"/>
    <w:rsid w:val="00A51A00"/>
    <w:rsid w:val="00A53349"/>
    <w:rsid w:val="00A70DF4"/>
    <w:rsid w:val="00A745FA"/>
    <w:rsid w:val="00A86FE4"/>
    <w:rsid w:val="00AA07C0"/>
    <w:rsid w:val="00AB274F"/>
    <w:rsid w:val="00AB350B"/>
    <w:rsid w:val="00AC6962"/>
    <w:rsid w:val="00AC756D"/>
    <w:rsid w:val="00AD45BA"/>
    <w:rsid w:val="00AF4315"/>
    <w:rsid w:val="00B02476"/>
    <w:rsid w:val="00B272CC"/>
    <w:rsid w:val="00B27AD9"/>
    <w:rsid w:val="00B40135"/>
    <w:rsid w:val="00B55D91"/>
    <w:rsid w:val="00B807CC"/>
    <w:rsid w:val="00B90595"/>
    <w:rsid w:val="00B95188"/>
    <w:rsid w:val="00BF3DA9"/>
    <w:rsid w:val="00C15ED4"/>
    <w:rsid w:val="00C21033"/>
    <w:rsid w:val="00C23FFE"/>
    <w:rsid w:val="00C34DCE"/>
    <w:rsid w:val="00C52218"/>
    <w:rsid w:val="00C631B8"/>
    <w:rsid w:val="00C674F0"/>
    <w:rsid w:val="00C678B3"/>
    <w:rsid w:val="00C8313A"/>
    <w:rsid w:val="00C97EDA"/>
    <w:rsid w:val="00CA24E5"/>
    <w:rsid w:val="00CA31F1"/>
    <w:rsid w:val="00CA6358"/>
    <w:rsid w:val="00CB7062"/>
    <w:rsid w:val="00CD086D"/>
    <w:rsid w:val="00CD426E"/>
    <w:rsid w:val="00CF17C3"/>
    <w:rsid w:val="00D00C31"/>
    <w:rsid w:val="00D05188"/>
    <w:rsid w:val="00D102B7"/>
    <w:rsid w:val="00D1441A"/>
    <w:rsid w:val="00D14E69"/>
    <w:rsid w:val="00D17AFF"/>
    <w:rsid w:val="00D17D82"/>
    <w:rsid w:val="00D477BE"/>
    <w:rsid w:val="00D576CF"/>
    <w:rsid w:val="00D804B8"/>
    <w:rsid w:val="00D85567"/>
    <w:rsid w:val="00D957BC"/>
    <w:rsid w:val="00DD641E"/>
    <w:rsid w:val="00DD7BD0"/>
    <w:rsid w:val="00DE409A"/>
    <w:rsid w:val="00DF1A79"/>
    <w:rsid w:val="00DF33C8"/>
    <w:rsid w:val="00DF74A8"/>
    <w:rsid w:val="00DF7951"/>
    <w:rsid w:val="00E056FB"/>
    <w:rsid w:val="00E16E56"/>
    <w:rsid w:val="00E25C86"/>
    <w:rsid w:val="00E2647A"/>
    <w:rsid w:val="00E46D71"/>
    <w:rsid w:val="00E56CB7"/>
    <w:rsid w:val="00E951B2"/>
    <w:rsid w:val="00E9772B"/>
    <w:rsid w:val="00EA2FFD"/>
    <w:rsid w:val="00EA4FAD"/>
    <w:rsid w:val="00EB1BBC"/>
    <w:rsid w:val="00ED5976"/>
    <w:rsid w:val="00EE3602"/>
    <w:rsid w:val="00F00E29"/>
    <w:rsid w:val="00F2372E"/>
    <w:rsid w:val="00F50AAB"/>
    <w:rsid w:val="00F5260C"/>
    <w:rsid w:val="00F55331"/>
    <w:rsid w:val="00F90EA2"/>
    <w:rsid w:val="00FA4210"/>
    <w:rsid w:val="00FA5E74"/>
    <w:rsid w:val="00FC0852"/>
    <w:rsid w:val="00FC66BC"/>
    <w:rsid w:val="00FD2C31"/>
    <w:rsid w:val="00FD6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85567"/>
    <w:pPr>
      <w:widowControl w:val="0"/>
      <w:tabs>
        <w:tab w:val="left" w:pos="720"/>
        <w:tab w:val="left" w:pos="3600"/>
        <w:tab w:val="left" w:pos="4680"/>
        <w:tab w:val="right" w:leader="dot" w:pos="9708"/>
      </w:tabs>
      <w:spacing w:after="0" w:line="240" w:lineRule="auto"/>
      <w:ind w:left="720" w:right="720" w:hanging="720"/>
      <w:jc w:val="both"/>
    </w:pPr>
    <w:rPr>
      <w:rFonts w:ascii="Arial" w:eastAsia="Times New Roman" w:hAnsi="Arial" w:cs="Times New Roman"/>
      <w:snapToGrid w:val="0"/>
      <w:sz w:val="21"/>
      <w:szCs w:val="20"/>
      <w:lang w:val="en-US"/>
    </w:rPr>
  </w:style>
  <w:style w:type="paragraph" w:styleId="FootnoteText">
    <w:name w:val="footnote text"/>
    <w:basedOn w:val="Normal"/>
    <w:link w:val="FootnoteTextChar"/>
    <w:uiPriority w:val="99"/>
    <w:unhideWhenUsed/>
    <w:rsid w:val="00764258"/>
    <w:pPr>
      <w:spacing w:after="0" w:line="240" w:lineRule="auto"/>
    </w:pPr>
    <w:rPr>
      <w:sz w:val="20"/>
      <w:szCs w:val="20"/>
    </w:rPr>
  </w:style>
  <w:style w:type="character" w:customStyle="1" w:styleId="FootnoteTextChar">
    <w:name w:val="Footnote Text Char"/>
    <w:basedOn w:val="DefaultParagraphFont"/>
    <w:link w:val="FootnoteText"/>
    <w:uiPriority w:val="99"/>
    <w:rsid w:val="00764258"/>
    <w:rPr>
      <w:sz w:val="20"/>
      <w:szCs w:val="20"/>
    </w:rPr>
  </w:style>
  <w:style w:type="character" w:styleId="FootnoteReference">
    <w:name w:val="footnote reference"/>
    <w:basedOn w:val="DefaultParagraphFont"/>
    <w:uiPriority w:val="99"/>
    <w:semiHidden/>
    <w:unhideWhenUsed/>
    <w:rsid w:val="00764258"/>
    <w:rPr>
      <w:vertAlign w:val="superscript"/>
    </w:rPr>
  </w:style>
  <w:style w:type="paragraph" w:customStyle="1" w:styleId="EndNoteBibliographyTitle">
    <w:name w:val="EndNote Bibliography Title"/>
    <w:basedOn w:val="Normal"/>
    <w:link w:val="EndNoteBibliographyTitleChar"/>
    <w:rsid w:val="0003747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37477"/>
    <w:rPr>
      <w:rFonts w:ascii="Calibri" w:hAnsi="Calibri"/>
      <w:noProof/>
      <w:lang w:val="en-US"/>
    </w:rPr>
  </w:style>
  <w:style w:type="paragraph" w:customStyle="1" w:styleId="EndNoteBibliography">
    <w:name w:val="EndNote Bibliography"/>
    <w:basedOn w:val="Normal"/>
    <w:link w:val="EndNoteBibliographyChar"/>
    <w:rsid w:val="0003747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37477"/>
    <w:rPr>
      <w:rFonts w:ascii="Calibri" w:hAnsi="Calibri"/>
      <w:noProof/>
      <w:lang w:val="en-US"/>
    </w:rPr>
  </w:style>
  <w:style w:type="character" w:styleId="Hyperlink">
    <w:name w:val="Hyperlink"/>
    <w:basedOn w:val="DefaultParagraphFont"/>
    <w:uiPriority w:val="99"/>
    <w:unhideWhenUsed/>
    <w:rsid w:val="00037477"/>
    <w:rPr>
      <w:color w:val="0000FF" w:themeColor="hyperlink"/>
      <w:u w:val="single"/>
    </w:rPr>
  </w:style>
  <w:style w:type="paragraph" w:styleId="BalloonText">
    <w:name w:val="Balloon Text"/>
    <w:basedOn w:val="Normal"/>
    <w:link w:val="BalloonTextChar"/>
    <w:uiPriority w:val="99"/>
    <w:semiHidden/>
    <w:unhideWhenUsed/>
    <w:rsid w:val="00842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C4"/>
    <w:rPr>
      <w:rFonts w:ascii="Tahoma" w:hAnsi="Tahoma" w:cs="Tahoma"/>
      <w:sz w:val="16"/>
      <w:szCs w:val="16"/>
    </w:rPr>
  </w:style>
  <w:style w:type="character" w:customStyle="1" w:styleId="frlabel1">
    <w:name w:val="fr_label1"/>
    <w:basedOn w:val="DefaultParagraphFont"/>
    <w:rsid w:val="00EA4FAD"/>
    <w:rPr>
      <w:b/>
      <w:bCs/>
    </w:rPr>
  </w:style>
  <w:style w:type="table" w:styleId="TableGrid">
    <w:name w:val="Table Grid"/>
    <w:basedOn w:val="TableNormal"/>
    <w:uiPriority w:val="59"/>
    <w:rsid w:val="007A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3DA5"/>
    <w:pPr>
      <w:ind w:left="720"/>
      <w:contextualSpacing/>
    </w:pPr>
  </w:style>
  <w:style w:type="paragraph" w:styleId="Header">
    <w:name w:val="header"/>
    <w:aliases w:val="HD"/>
    <w:basedOn w:val="Normal"/>
    <w:link w:val="HeaderChar"/>
    <w:uiPriority w:val="99"/>
    <w:unhideWhenUsed/>
    <w:rsid w:val="00B95188"/>
    <w:pPr>
      <w:tabs>
        <w:tab w:val="center" w:pos="4513"/>
        <w:tab w:val="right" w:pos="9026"/>
      </w:tabs>
      <w:spacing w:after="0" w:line="240" w:lineRule="auto"/>
    </w:pPr>
  </w:style>
  <w:style w:type="character" w:customStyle="1" w:styleId="HeaderChar">
    <w:name w:val="Header Char"/>
    <w:aliases w:val="HD Char"/>
    <w:basedOn w:val="DefaultParagraphFont"/>
    <w:link w:val="Header"/>
    <w:uiPriority w:val="99"/>
    <w:rsid w:val="00B95188"/>
  </w:style>
  <w:style w:type="paragraph" w:styleId="Footer">
    <w:name w:val="footer"/>
    <w:basedOn w:val="Normal"/>
    <w:link w:val="FooterChar"/>
    <w:uiPriority w:val="99"/>
    <w:unhideWhenUsed/>
    <w:rsid w:val="00B95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188"/>
  </w:style>
  <w:style w:type="character" w:styleId="CommentReference">
    <w:name w:val="annotation reference"/>
    <w:basedOn w:val="DefaultParagraphFont"/>
    <w:uiPriority w:val="99"/>
    <w:semiHidden/>
    <w:unhideWhenUsed/>
    <w:rsid w:val="00B40135"/>
    <w:rPr>
      <w:sz w:val="16"/>
      <w:szCs w:val="16"/>
    </w:rPr>
  </w:style>
  <w:style w:type="paragraph" w:styleId="CommentText">
    <w:name w:val="annotation text"/>
    <w:basedOn w:val="Normal"/>
    <w:link w:val="CommentTextChar"/>
    <w:uiPriority w:val="99"/>
    <w:semiHidden/>
    <w:unhideWhenUsed/>
    <w:rsid w:val="00B40135"/>
    <w:pPr>
      <w:spacing w:line="240" w:lineRule="auto"/>
    </w:pPr>
    <w:rPr>
      <w:sz w:val="20"/>
      <w:szCs w:val="20"/>
    </w:rPr>
  </w:style>
  <w:style w:type="character" w:customStyle="1" w:styleId="CommentTextChar">
    <w:name w:val="Comment Text Char"/>
    <w:basedOn w:val="DefaultParagraphFont"/>
    <w:link w:val="CommentText"/>
    <w:uiPriority w:val="99"/>
    <w:semiHidden/>
    <w:rsid w:val="00B40135"/>
    <w:rPr>
      <w:sz w:val="20"/>
      <w:szCs w:val="20"/>
    </w:rPr>
  </w:style>
  <w:style w:type="paragraph" w:styleId="CommentSubject">
    <w:name w:val="annotation subject"/>
    <w:basedOn w:val="CommentText"/>
    <w:next w:val="CommentText"/>
    <w:link w:val="CommentSubjectChar"/>
    <w:uiPriority w:val="99"/>
    <w:semiHidden/>
    <w:unhideWhenUsed/>
    <w:rsid w:val="00B40135"/>
    <w:rPr>
      <w:b/>
      <w:bCs/>
    </w:rPr>
  </w:style>
  <w:style w:type="character" w:customStyle="1" w:styleId="CommentSubjectChar">
    <w:name w:val="Comment Subject Char"/>
    <w:basedOn w:val="CommentTextChar"/>
    <w:link w:val="CommentSubject"/>
    <w:uiPriority w:val="99"/>
    <w:semiHidden/>
    <w:rsid w:val="00B40135"/>
    <w:rPr>
      <w:b/>
      <w:bCs/>
      <w:sz w:val="20"/>
      <w:szCs w:val="20"/>
    </w:rPr>
  </w:style>
  <w:style w:type="character" w:customStyle="1" w:styleId="googqs-tidbit">
    <w:name w:val="goog_qs-tidbit"/>
    <w:basedOn w:val="DefaultParagraphFont"/>
    <w:rsid w:val="00A27BD7"/>
  </w:style>
  <w:style w:type="paragraph" w:styleId="NormalWeb">
    <w:name w:val="Normal (Web)"/>
    <w:basedOn w:val="Normal"/>
    <w:uiPriority w:val="99"/>
    <w:semiHidden/>
    <w:unhideWhenUsed/>
    <w:rsid w:val="00C674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CB7062"/>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CB7062"/>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B7062"/>
    <w:rPr>
      <w:vertAlign w:val="superscript"/>
    </w:rPr>
  </w:style>
  <w:style w:type="paragraph" w:customStyle="1" w:styleId="Default">
    <w:name w:val="Default"/>
    <w:rsid w:val="00D102B7"/>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D85567"/>
    <w:pPr>
      <w:widowControl w:val="0"/>
      <w:tabs>
        <w:tab w:val="left" w:pos="720"/>
        <w:tab w:val="left" w:pos="3600"/>
        <w:tab w:val="left" w:pos="4680"/>
        <w:tab w:val="right" w:leader="dot" w:pos="9708"/>
      </w:tabs>
      <w:spacing w:after="0" w:line="240" w:lineRule="auto"/>
      <w:ind w:left="720" w:right="720" w:hanging="720"/>
      <w:jc w:val="both"/>
    </w:pPr>
    <w:rPr>
      <w:rFonts w:ascii="Arial" w:eastAsia="Times New Roman" w:hAnsi="Arial" w:cs="Times New Roman"/>
      <w:snapToGrid w:val="0"/>
      <w:sz w:val="21"/>
      <w:szCs w:val="20"/>
      <w:lang w:val="en-US"/>
    </w:rPr>
  </w:style>
  <w:style w:type="paragraph" w:styleId="FootnoteText">
    <w:name w:val="footnote text"/>
    <w:basedOn w:val="Normal"/>
    <w:link w:val="FootnoteTextChar"/>
    <w:uiPriority w:val="99"/>
    <w:unhideWhenUsed/>
    <w:rsid w:val="00764258"/>
    <w:pPr>
      <w:spacing w:after="0" w:line="240" w:lineRule="auto"/>
    </w:pPr>
    <w:rPr>
      <w:sz w:val="20"/>
      <w:szCs w:val="20"/>
    </w:rPr>
  </w:style>
  <w:style w:type="character" w:customStyle="1" w:styleId="FootnoteTextChar">
    <w:name w:val="Footnote Text Char"/>
    <w:basedOn w:val="DefaultParagraphFont"/>
    <w:link w:val="FootnoteText"/>
    <w:uiPriority w:val="99"/>
    <w:rsid w:val="00764258"/>
    <w:rPr>
      <w:sz w:val="20"/>
      <w:szCs w:val="20"/>
    </w:rPr>
  </w:style>
  <w:style w:type="character" w:styleId="FootnoteReference">
    <w:name w:val="footnote reference"/>
    <w:basedOn w:val="DefaultParagraphFont"/>
    <w:uiPriority w:val="99"/>
    <w:semiHidden/>
    <w:unhideWhenUsed/>
    <w:rsid w:val="00764258"/>
    <w:rPr>
      <w:vertAlign w:val="superscript"/>
    </w:rPr>
  </w:style>
  <w:style w:type="paragraph" w:customStyle="1" w:styleId="EndNoteBibliographyTitle">
    <w:name w:val="EndNote Bibliography Title"/>
    <w:basedOn w:val="Normal"/>
    <w:link w:val="EndNoteBibliographyTitleChar"/>
    <w:rsid w:val="0003747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37477"/>
    <w:rPr>
      <w:rFonts w:ascii="Calibri" w:hAnsi="Calibri"/>
      <w:noProof/>
      <w:lang w:val="en-US"/>
    </w:rPr>
  </w:style>
  <w:style w:type="paragraph" w:customStyle="1" w:styleId="EndNoteBibliography">
    <w:name w:val="EndNote Bibliography"/>
    <w:basedOn w:val="Normal"/>
    <w:link w:val="EndNoteBibliographyChar"/>
    <w:rsid w:val="0003747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37477"/>
    <w:rPr>
      <w:rFonts w:ascii="Calibri" w:hAnsi="Calibri"/>
      <w:noProof/>
      <w:lang w:val="en-US"/>
    </w:rPr>
  </w:style>
  <w:style w:type="character" w:styleId="Hyperlink">
    <w:name w:val="Hyperlink"/>
    <w:basedOn w:val="DefaultParagraphFont"/>
    <w:uiPriority w:val="99"/>
    <w:unhideWhenUsed/>
    <w:rsid w:val="00037477"/>
    <w:rPr>
      <w:color w:val="0000FF" w:themeColor="hyperlink"/>
      <w:u w:val="single"/>
    </w:rPr>
  </w:style>
  <w:style w:type="paragraph" w:styleId="BalloonText">
    <w:name w:val="Balloon Text"/>
    <w:basedOn w:val="Normal"/>
    <w:link w:val="BalloonTextChar"/>
    <w:uiPriority w:val="99"/>
    <w:semiHidden/>
    <w:unhideWhenUsed/>
    <w:rsid w:val="00842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C4"/>
    <w:rPr>
      <w:rFonts w:ascii="Tahoma" w:hAnsi="Tahoma" w:cs="Tahoma"/>
      <w:sz w:val="16"/>
      <w:szCs w:val="16"/>
    </w:rPr>
  </w:style>
  <w:style w:type="character" w:customStyle="1" w:styleId="frlabel1">
    <w:name w:val="fr_label1"/>
    <w:basedOn w:val="DefaultParagraphFont"/>
    <w:rsid w:val="00EA4FAD"/>
    <w:rPr>
      <w:b/>
      <w:bCs/>
    </w:rPr>
  </w:style>
  <w:style w:type="table" w:styleId="TableGrid">
    <w:name w:val="Table Grid"/>
    <w:basedOn w:val="TableNormal"/>
    <w:uiPriority w:val="59"/>
    <w:rsid w:val="007A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3DA5"/>
    <w:pPr>
      <w:ind w:left="720"/>
      <w:contextualSpacing/>
    </w:pPr>
  </w:style>
  <w:style w:type="paragraph" w:styleId="Header">
    <w:name w:val="header"/>
    <w:aliases w:val="HD"/>
    <w:basedOn w:val="Normal"/>
    <w:link w:val="HeaderChar"/>
    <w:uiPriority w:val="99"/>
    <w:unhideWhenUsed/>
    <w:rsid w:val="00B95188"/>
    <w:pPr>
      <w:tabs>
        <w:tab w:val="center" w:pos="4513"/>
        <w:tab w:val="right" w:pos="9026"/>
      </w:tabs>
      <w:spacing w:after="0" w:line="240" w:lineRule="auto"/>
    </w:pPr>
  </w:style>
  <w:style w:type="character" w:customStyle="1" w:styleId="HeaderChar">
    <w:name w:val="Header Char"/>
    <w:aliases w:val="HD Char"/>
    <w:basedOn w:val="DefaultParagraphFont"/>
    <w:link w:val="Header"/>
    <w:uiPriority w:val="99"/>
    <w:rsid w:val="00B95188"/>
  </w:style>
  <w:style w:type="paragraph" w:styleId="Footer">
    <w:name w:val="footer"/>
    <w:basedOn w:val="Normal"/>
    <w:link w:val="FooterChar"/>
    <w:uiPriority w:val="99"/>
    <w:unhideWhenUsed/>
    <w:rsid w:val="00B95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188"/>
  </w:style>
  <w:style w:type="character" w:styleId="CommentReference">
    <w:name w:val="annotation reference"/>
    <w:basedOn w:val="DefaultParagraphFont"/>
    <w:uiPriority w:val="99"/>
    <w:semiHidden/>
    <w:unhideWhenUsed/>
    <w:rsid w:val="00B40135"/>
    <w:rPr>
      <w:sz w:val="16"/>
      <w:szCs w:val="16"/>
    </w:rPr>
  </w:style>
  <w:style w:type="paragraph" w:styleId="CommentText">
    <w:name w:val="annotation text"/>
    <w:basedOn w:val="Normal"/>
    <w:link w:val="CommentTextChar"/>
    <w:uiPriority w:val="99"/>
    <w:semiHidden/>
    <w:unhideWhenUsed/>
    <w:rsid w:val="00B40135"/>
    <w:pPr>
      <w:spacing w:line="240" w:lineRule="auto"/>
    </w:pPr>
    <w:rPr>
      <w:sz w:val="20"/>
      <w:szCs w:val="20"/>
    </w:rPr>
  </w:style>
  <w:style w:type="character" w:customStyle="1" w:styleId="CommentTextChar">
    <w:name w:val="Comment Text Char"/>
    <w:basedOn w:val="DefaultParagraphFont"/>
    <w:link w:val="CommentText"/>
    <w:uiPriority w:val="99"/>
    <w:semiHidden/>
    <w:rsid w:val="00B40135"/>
    <w:rPr>
      <w:sz w:val="20"/>
      <w:szCs w:val="20"/>
    </w:rPr>
  </w:style>
  <w:style w:type="paragraph" w:styleId="CommentSubject">
    <w:name w:val="annotation subject"/>
    <w:basedOn w:val="CommentText"/>
    <w:next w:val="CommentText"/>
    <w:link w:val="CommentSubjectChar"/>
    <w:uiPriority w:val="99"/>
    <w:semiHidden/>
    <w:unhideWhenUsed/>
    <w:rsid w:val="00B40135"/>
    <w:rPr>
      <w:b/>
      <w:bCs/>
    </w:rPr>
  </w:style>
  <w:style w:type="character" w:customStyle="1" w:styleId="CommentSubjectChar">
    <w:name w:val="Comment Subject Char"/>
    <w:basedOn w:val="CommentTextChar"/>
    <w:link w:val="CommentSubject"/>
    <w:uiPriority w:val="99"/>
    <w:semiHidden/>
    <w:rsid w:val="00B40135"/>
    <w:rPr>
      <w:b/>
      <w:bCs/>
      <w:sz w:val="20"/>
      <w:szCs w:val="20"/>
    </w:rPr>
  </w:style>
  <w:style w:type="character" w:customStyle="1" w:styleId="googqs-tidbit">
    <w:name w:val="goog_qs-tidbit"/>
    <w:basedOn w:val="DefaultParagraphFont"/>
    <w:rsid w:val="00A27BD7"/>
  </w:style>
  <w:style w:type="paragraph" w:styleId="NormalWeb">
    <w:name w:val="Normal (Web)"/>
    <w:basedOn w:val="Normal"/>
    <w:uiPriority w:val="99"/>
    <w:semiHidden/>
    <w:unhideWhenUsed/>
    <w:rsid w:val="00C674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CB7062"/>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rsid w:val="00CB7062"/>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B7062"/>
    <w:rPr>
      <w:vertAlign w:val="superscript"/>
    </w:rPr>
  </w:style>
  <w:style w:type="paragraph" w:customStyle="1" w:styleId="Default">
    <w:name w:val="Default"/>
    <w:rsid w:val="00D102B7"/>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6182">
      <w:bodyDiv w:val="1"/>
      <w:marLeft w:val="0"/>
      <w:marRight w:val="0"/>
      <w:marTop w:val="0"/>
      <w:marBottom w:val="0"/>
      <w:divBdr>
        <w:top w:val="none" w:sz="0" w:space="0" w:color="auto"/>
        <w:left w:val="none" w:sz="0" w:space="0" w:color="auto"/>
        <w:bottom w:val="none" w:sz="0" w:space="0" w:color="auto"/>
        <w:right w:val="none" w:sz="0" w:space="0" w:color="auto"/>
      </w:divBdr>
    </w:div>
    <w:div w:id="221912308">
      <w:bodyDiv w:val="1"/>
      <w:marLeft w:val="0"/>
      <w:marRight w:val="0"/>
      <w:marTop w:val="0"/>
      <w:marBottom w:val="0"/>
      <w:divBdr>
        <w:top w:val="none" w:sz="0" w:space="0" w:color="auto"/>
        <w:left w:val="none" w:sz="0" w:space="0" w:color="auto"/>
        <w:bottom w:val="none" w:sz="0" w:space="0" w:color="auto"/>
        <w:right w:val="none" w:sz="0" w:space="0" w:color="auto"/>
      </w:divBdr>
    </w:div>
    <w:div w:id="237248536">
      <w:bodyDiv w:val="1"/>
      <w:marLeft w:val="0"/>
      <w:marRight w:val="0"/>
      <w:marTop w:val="0"/>
      <w:marBottom w:val="0"/>
      <w:divBdr>
        <w:top w:val="none" w:sz="0" w:space="0" w:color="auto"/>
        <w:left w:val="none" w:sz="0" w:space="0" w:color="auto"/>
        <w:bottom w:val="none" w:sz="0" w:space="0" w:color="auto"/>
        <w:right w:val="none" w:sz="0" w:space="0" w:color="auto"/>
      </w:divBdr>
      <w:divsChild>
        <w:div w:id="1608386022">
          <w:marLeft w:val="547"/>
          <w:marRight w:val="0"/>
          <w:marTop w:val="144"/>
          <w:marBottom w:val="0"/>
          <w:divBdr>
            <w:top w:val="none" w:sz="0" w:space="0" w:color="auto"/>
            <w:left w:val="none" w:sz="0" w:space="0" w:color="auto"/>
            <w:bottom w:val="none" w:sz="0" w:space="0" w:color="auto"/>
            <w:right w:val="none" w:sz="0" w:space="0" w:color="auto"/>
          </w:divBdr>
        </w:div>
        <w:div w:id="330564612">
          <w:marLeft w:val="1166"/>
          <w:marRight w:val="0"/>
          <w:marTop w:val="125"/>
          <w:marBottom w:val="0"/>
          <w:divBdr>
            <w:top w:val="none" w:sz="0" w:space="0" w:color="auto"/>
            <w:left w:val="none" w:sz="0" w:space="0" w:color="auto"/>
            <w:bottom w:val="none" w:sz="0" w:space="0" w:color="auto"/>
            <w:right w:val="none" w:sz="0" w:space="0" w:color="auto"/>
          </w:divBdr>
        </w:div>
        <w:div w:id="1346246067">
          <w:marLeft w:val="1166"/>
          <w:marRight w:val="0"/>
          <w:marTop w:val="125"/>
          <w:marBottom w:val="0"/>
          <w:divBdr>
            <w:top w:val="none" w:sz="0" w:space="0" w:color="auto"/>
            <w:left w:val="none" w:sz="0" w:space="0" w:color="auto"/>
            <w:bottom w:val="none" w:sz="0" w:space="0" w:color="auto"/>
            <w:right w:val="none" w:sz="0" w:space="0" w:color="auto"/>
          </w:divBdr>
        </w:div>
        <w:div w:id="172500518">
          <w:marLeft w:val="1166"/>
          <w:marRight w:val="0"/>
          <w:marTop w:val="125"/>
          <w:marBottom w:val="0"/>
          <w:divBdr>
            <w:top w:val="none" w:sz="0" w:space="0" w:color="auto"/>
            <w:left w:val="none" w:sz="0" w:space="0" w:color="auto"/>
            <w:bottom w:val="none" w:sz="0" w:space="0" w:color="auto"/>
            <w:right w:val="none" w:sz="0" w:space="0" w:color="auto"/>
          </w:divBdr>
        </w:div>
        <w:div w:id="59449263">
          <w:marLeft w:val="1166"/>
          <w:marRight w:val="0"/>
          <w:marTop w:val="125"/>
          <w:marBottom w:val="0"/>
          <w:divBdr>
            <w:top w:val="none" w:sz="0" w:space="0" w:color="auto"/>
            <w:left w:val="none" w:sz="0" w:space="0" w:color="auto"/>
            <w:bottom w:val="none" w:sz="0" w:space="0" w:color="auto"/>
            <w:right w:val="none" w:sz="0" w:space="0" w:color="auto"/>
          </w:divBdr>
        </w:div>
      </w:divsChild>
    </w:div>
    <w:div w:id="793913103">
      <w:bodyDiv w:val="1"/>
      <w:marLeft w:val="0"/>
      <w:marRight w:val="0"/>
      <w:marTop w:val="0"/>
      <w:marBottom w:val="0"/>
      <w:divBdr>
        <w:top w:val="none" w:sz="0" w:space="0" w:color="auto"/>
        <w:left w:val="none" w:sz="0" w:space="0" w:color="auto"/>
        <w:bottom w:val="none" w:sz="0" w:space="0" w:color="auto"/>
        <w:right w:val="none" w:sz="0" w:space="0" w:color="auto"/>
      </w:divBdr>
    </w:div>
    <w:div w:id="864441282">
      <w:bodyDiv w:val="1"/>
      <w:marLeft w:val="0"/>
      <w:marRight w:val="0"/>
      <w:marTop w:val="0"/>
      <w:marBottom w:val="0"/>
      <w:divBdr>
        <w:top w:val="none" w:sz="0" w:space="0" w:color="auto"/>
        <w:left w:val="none" w:sz="0" w:space="0" w:color="auto"/>
        <w:bottom w:val="none" w:sz="0" w:space="0" w:color="auto"/>
        <w:right w:val="none" w:sz="0" w:space="0" w:color="auto"/>
      </w:divBdr>
    </w:div>
    <w:div w:id="1172060869">
      <w:bodyDiv w:val="1"/>
      <w:marLeft w:val="0"/>
      <w:marRight w:val="0"/>
      <w:marTop w:val="0"/>
      <w:marBottom w:val="0"/>
      <w:divBdr>
        <w:top w:val="none" w:sz="0" w:space="0" w:color="auto"/>
        <w:left w:val="none" w:sz="0" w:space="0" w:color="auto"/>
        <w:bottom w:val="none" w:sz="0" w:space="0" w:color="auto"/>
        <w:right w:val="none" w:sz="0" w:space="0" w:color="auto"/>
      </w:divBdr>
    </w:div>
    <w:div w:id="1721324248">
      <w:bodyDiv w:val="1"/>
      <w:marLeft w:val="0"/>
      <w:marRight w:val="0"/>
      <w:marTop w:val="0"/>
      <w:marBottom w:val="0"/>
      <w:divBdr>
        <w:top w:val="none" w:sz="0" w:space="0" w:color="auto"/>
        <w:left w:val="none" w:sz="0" w:space="0" w:color="auto"/>
        <w:bottom w:val="none" w:sz="0" w:space="0" w:color="auto"/>
        <w:right w:val="none" w:sz="0" w:space="0" w:color="auto"/>
      </w:divBdr>
    </w:div>
    <w:div w:id="1776897287">
      <w:bodyDiv w:val="1"/>
      <w:marLeft w:val="0"/>
      <w:marRight w:val="0"/>
      <w:marTop w:val="0"/>
      <w:marBottom w:val="0"/>
      <w:divBdr>
        <w:top w:val="none" w:sz="0" w:space="0" w:color="auto"/>
        <w:left w:val="none" w:sz="0" w:space="0" w:color="auto"/>
        <w:bottom w:val="none" w:sz="0" w:space="0" w:color="auto"/>
        <w:right w:val="none" w:sz="0" w:space="0" w:color="auto"/>
      </w:divBdr>
    </w:div>
    <w:div w:id="1865827766">
      <w:bodyDiv w:val="1"/>
      <w:marLeft w:val="0"/>
      <w:marRight w:val="0"/>
      <w:marTop w:val="0"/>
      <w:marBottom w:val="0"/>
      <w:divBdr>
        <w:top w:val="none" w:sz="0" w:space="0" w:color="auto"/>
        <w:left w:val="none" w:sz="0" w:space="0" w:color="auto"/>
        <w:bottom w:val="none" w:sz="0" w:space="0" w:color="auto"/>
        <w:right w:val="none" w:sz="0" w:space="0" w:color="auto"/>
      </w:divBdr>
      <w:divsChild>
        <w:div w:id="1042511273">
          <w:marLeft w:val="547"/>
          <w:marRight w:val="0"/>
          <w:marTop w:val="77"/>
          <w:marBottom w:val="0"/>
          <w:divBdr>
            <w:top w:val="none" w:sz="0" w:space="0" w:color="auto"/>
            <w:left w:val="none" w:sz="0" w:space="0" w:color="auto"/>
            <w:bottom w:val="none" w:sz="0" w:space="0" w:color="auto"/>
            <w:right w:val="none" w:sz="0" w:space="0" w:color="auto"/>
          </w:divBdr>
        </w:div>
      </w:divsChild>
    </w:div>
    <w:div w:id="21342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D32E-3730-406A-A3BD-CA6611D9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Roper, Stephen</dc:creator>
  <cp:lastModifiedBy>Carter, Jacqueline</cp:lastModifiedBy>
  <cp:revision>2</cp:revision>
  <cp:lastPrinted>2013-09-30T09:20:00Z</cp:lastPrinted>
  <dcterms:created xsi:type="dcterms:W3CDTF">2013-12-09T16:34:00Z</dcterms:created>
  <dcterms:modified xsi:type="dcterms:W3CDTF">2013-12-09T16:34:00Z</dcterms:modified>
</cp:coreProperties>
</file>