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E3" w:rsidRPr="00DE2445" w:rsidRDefault="00337DC6" w:rsidP="00DE2445">
      <w:pPr>
        <w:pStyle w:val="Header"/>
        <w:jc w:val="center"/>
        <w:rPr>
          <w:rFonts w:ascii="Arial" w:hAnsi="Arial" w:cs="Arial"/>
          <w:sz w:val="72"/>
          <w:szCs w:val="72"/>
        </w:rPr>
      </w:pPr>
      <w:r w:rsidRPr="00DE2445">
        <w:rPr>
          <w:rFonts w:ascii="Arial" w:hAnsi="Arial" w:cs="Arial"/>
          <w:sz w:val="72"/>
          <w:szCs w:val="72"/>
        </w:rPr>
        <w:t xml:space="preserve">ERC </w:t>
      </w:r>
      <w:r w:rsidRPr="00DE2445">
        <w:rPr>
          <w:rFonts w:ascii="Arial" w:hAnsi="Arial" w:cs="Arial"/>
          <w:i/>
          <w:sz w:val="72"/>
          <w:szCs w:val="72"/>
        </w:rPr>
        <w:t>Insight</w:t>
      </w:r>
    </w:p>
    <w:p w:rsidR="00DE2445" w:rsidRPr="00DE2445" w:rsidRDefault="00DE2445" w:rsidP="00DE2445">
      <w:pPr>
        <w:pStyle w:val="Header"/>
        <w:jc w:val="center"/>
        <w:rPr>
          <w:rFonts w:ascii="Arial" w:hAnsi="Arial" w:cs="Arial"/>
          <w:sz w:val="28"/>
          <w:szCs w:val="28"/>
        </w:rPr>
      </w:pPr>
    </w:p>
    <w:p w:rsidR="00337DC6" w:rsidRPr="00DE2445" w:rsidRDefault="00844FD4" w:rsidP="00337DC6">
      <w:pPr>
        <w:pStyle w:val="Header"/>
        <w:jc w:val="center"/>
        <w:rPr>
          <w:rFonts w:ascii="Arial" w:hAnsi="Arial" w:cs="Arial"/>
        </w:rPr>
      </w:pPr>
      <w:r w:rsidRPr="00DE2445">
        <w:rPr>
          <w:rFonts w:ascii="Arial" w:hAnsi="Arial" w:cs="Arial"/>
        </w:rPr>
        <w:t>November 2014</w:t>
      </w:r>
    </w:p>
    <w:p w:rsidR="00337DC6" w:rsidRPr="00DE2445" w:rsidRDefault="00337DC6" w:rsidP="00844FD4">
      <w:pPr>
        <w:pBdr>
          <w:top w:val="single" w:sz="4" w:space="1" w:color="auto"/>
        </w:pBdr>
        <w:rPr>
          <w:rFonts w:ascii="Arial" w:hAnsi="Arial" w:cs="Arial"/>
        </w:rPr>
      </w:pPr>
    </w:p>
    <w:p w:rsidR="00F57971" w:rsidRPr="00DE2445" w:rsidRDefault="00844FD4" w:rsidP="00844FD4">
      <w:pPr>
        <w:spacing w:line="240" w:lineRule="auto"/>
        <w:jc w:val="center"/>
        <w:rPr>
          <w:rFonts w:ascii="Arial" w:hAnsi="Arial" w:cs="Arial"/>
          <w:b/>
          <w:sz w:val="40"/>
          <w:szCs w:val="40"/>
        </w:rPr>
      </w:pPr>
      <w:r w:rsidRPr="00DE2445">
        <w:rPr>
          <w:rFonts w:ascii="Arial" w:hAnsi="Arial" w:cs="Arial"/>
          <w:b/>
          <w:sz w:val="40"/>
          <w:szCs w:val="40"/>
        </w:rPr>
        <w:t>Local Economic Area Innovation Benchmarks – 2002-2010</w:t>
      </w:r>
    </w:p>
    <w:p w:rsidR="00844FD4" w:rsidRPr="00DE2445" w:rsidRDefault="00844FD4" w:rsidP="00844FD4">
      <w:pPr>
        <w:pBdr>
          <w:bottom w:val="single" w:sz="4" w:space="1" w:color="auto"/>
        </w:pBdr>
        <w:spacing w:line="240" w:lineRule="auto"/>
        <w:jc w:val="center"/>
        <w:rPr>
          <w:rFonts w:ascii="Arial" w:hAnsi="Arial" w:cs="Arial"/>
        </w:rPr>
      </w:pPr>
    </w:p>
    <w:p w:rsidR="00BC7D7C" w:rsidRPr="00DE2445" w:rsidRDefault="00844FD4" w:rsidP="00BC7D7C">
      <w:pPr>
        <w:spacing w:line="240" w:lineRule="auto"/>
        <w:jc w:val="both"/>
        <w:rPr>
          <w:rFonts w:ascii="Arial" w:hAnsi="Arial" w:cs="Arial"/>
          <w:b/>
        </w:rPr>
      </w:pPr>
      <w:bookmarkStart w:id="0" w:name="_GoBack"/>
      <w:r w:rsidRPr="00DE2445">
        <w:rPr>
          <w:rFonts w:ascii="Arial" w:hAnsi="Arial" w:cs="Arial"/>
          <w:b/>
        </w:rPr>
        <w:t>The UK Innovation Survey provides information on product/service and process innovation as well as the barriers to innovation activity for a relatively large number of UK firms. In this paper we present the first local economic area analysis of this data derived from four surveys covering the 2002-04, 2004-06, 2006-08 and 2008-10 period</w:t>
      </w:r>
      <w:r w:rsidR="006D0FA6">
        <w:rPr>
          <w:rFonts w:ascii="Arial" w:hAnsi="Arial" w:cs="Arial"/>
          <w:b/>
        </w:rPr>
        <w:t>s</w:t>
      </w:r>
      <w:r w:rsidRPr="00DE2445">
        <w:rPr>
          <w:rFonts w:ascii="Arial" w:hAnsi="Arial" w:cs="Arial"/>
          <w:b/>
        </w:rPr>
        <w:t>. The analysis is possible as locational codes (postcodes) have been matched with innovation data for the first time enabling the innovation profile of individual Local Economic Areas (LEAs) to be captured. The curren</w:t>
      </w:r>
      <w:r w:rsidR="006D0FA6">
        <w:rPr>
          <w:rFonts w:ascii="Arial" w:hAnsi="Arial" w:cs="Arial"/>
          <w:b/>
        </w:rPr>
        <w:t>t analysis relates to the 2002-2</w:t>
      </w:r>
      <w:r w:rsidRPr="00DE2445">
        <w:rPr>
          <w:rFonts w:ascii="Arial" w:hAnsi="Arial" w:cs="Arial"/>
          <w:b/>
        </w:rPr>
        <w:t>010 period. New data relating to the more recent 2010-2012</w:t>
      </w:r>
      <w:r w:rsidR="006D0FA6">
        <w:rPr>
          <w:rFonts w:ascii="Arial" w:hAnsi="Arial" w:cs="Arial"/>
          <w:b/>
        </w:rPr>
        <w:t xml:space="preserve"> period </w:t>
      </w:r>
      <w:r w:rsidRPr="00DE2445">
        <w:rPr>
          <w:rFonts w:ascii="Arial" w:hAnsi="Arial" w:cs="Arial"/>
          <w:b/>
        </w:rPr>
        <w:t xml:space="preserve">is due to be released towards the end of 2014. </w:t>
      </w:r>
      <w:r w:rsidR="00810A7E">
        <w:rPr>
          <w:rFonts w:ascii="Arial" w:hAnsi="Arial" w:cs="Arial"/>
          <w:b/>
        </w:rPr>
        <w:t xml:space="preserve">We welcome suggestions for other indicators or analysis which would be useful. </w:t>
      </w:r>
      <w:r w:rsidR="00BC7D7C" w:rsidRPr="00DE2445">
        <w:rPr>
          <w:rFonts w:ascii="Arial" w:hAnsi="Arial" w:cs="Arial"/>
          <w:b/>
        </w:rPr>
        <w:t xml:space="preserve">Analysis has been undertaken by Stephen Roper, Karen Bonner and Jim Love at ERC. </w:t>
      </w:r>
    </w:p>
    <w:bookmarkEnd w:id="0"/>
    <w:p w:rsidR="00F57971" w:rsidRPr="00DE2445" w:rsidRDefault="00F57971" w:rsidP="00D65C71">
      <w:pPr>
        <w:jc w:val="center"/>
        <w:rPr>
          <w:rFonts w:ascii="Arial" w:hAnsi="Arial" w:cs="Arial"/>
        </w:rPr>
      </w:pPr>
      <w:r w:rsidRPr="00DE2445">
        <w:rPr>
          <w:rFonts w:ascii="Arial" w:hAnsi="Arial" w:cs="Arial"/>
          <w:b/>
        </w:rPr>
        <w:t xml:space="preserve">Contact: </w:t>
      </w:r>
      <w:hyperlink r:id="rId9" w:history="1">
        <w:r w:rsidR="00491196" w:rsidRPr="00DE2445">
          <w:rPr>
            <w:rStyle w:val="Hyperlink"/>
            <w:rFonts w:ascii="Arial" w:hAnsi="Arial" w:cs="Arial"/>
            <w:b/>
          </w:rPr>
          <w:t>Stephen.Roper@wbs.ac.uk</w:t>
        </w:r>
      </w:hyperlink>
      <w:r w:rsidR="00491196" w:rsidRPr="00DE2445">
        <w:rPr>
          <w:rFonts w:ascii="Arial" w:hAnsi="Arial" w:cs="Arial"/>
          <w:b/>
        </w:rPr>
        <w:t xml:space="preserve"> </w:t>
      </w:r>
    </w:p>
    <w:p w:rsidR="00844FD4" w:rsidRPr="00DE2445" w:rsidRDefault="00844FD4" w:rsidP="00844FD4">
      <w:pPr>
        <w:spacing w:line="240" w:lineRule="auto"/>
        <w:jc w:val="center"/>
        <w:rPr>
          <w:rFonts w:ascii="Arial" w:hAnsi="Arial" w:cs="Arial"/>
          <w:b/>
        </w:rPr>
      </w:pPr>
    </w:p>
    <w:p w:rsidR="00844FD4" w:rsidRPr="00DE2445" w:rsidRDefault="00844FD4" w:rsidP="00844FD4">
      <w:pPr>
        <w:pStyle w:val="ListParagraph"/>
        <w:numPr>
          <w:ilvl w:val="0"/>
          <w:numId w:val="3"/>
        </w:numPr>
        <w:spacing w:line="240" w:lineRule="auto"/>
        <w:jc w:val="both"/>
        <w:rPr>
          <w:rFonts w:ascii="Arial" w:hAnsi="Arial" w:cs="Arial"/>
          <w:b/>
        </w:rPr>
      </w:pPr>
      <w:r w:rsidRPr="00DE2445">
        <w:rPr>
          <w:rFonts w:ascii="Arial" w:hAnsi="Arial" w:cs="Arial"/>
          <w:b/>
        </w:rPr>
        <w:t xml:space="preserve">Introduction </w:t>
      </w:r>
    </w:p>
    <w:p w:rsidR="00E72E43" w:rsidRPr="00DE2445" w:rsidRDefault="00844FD4" w:rsidP="00844FD4">
      <w:pPr>
        <w:spacing w:line="240" w:lineRule="auto"/>
        <w:jc w:val="both"/>
        <w:rPr>
          <w:rFonts w:ascii="Arial" w:hAnsi="Arial" w:cs="Arial"/>
        </w:rPr>
      </w:pPr>
      <w:r w:rsidRPr="00DE2445">
        <w:rPr>
          <w:rFonts w:ascii="Arial" w:hAnsi="Arial" w:cs="Arial"/>
        </w:rPr>
        <w:t>Innovation has been widely associated with economic growth and productivity at the level of the firm, the industry and the nation</w:t>
      </w:r>
      <w:r w:rsidR="00E72E43" w:rsidRPr="00DE2445">
        <w:rPr>
          <w:rStyle w:val="EndnoteReference"/>
          <w:rFonts w:ascii="Arial" w:hAnsi="Arial" w:cs="Arial"/>
        </w:rPr>
        <w:endnoteReference w:id="1"/>
      </w:r>
      <w:r w:rsidR="00E72E43" w:rsidRPr="00DE2445">
        <w:rPr>
          <w:rFonts w:ascii="Arial" w:hAnsi="Arial" w:cs="Arial"/>
        </w:rPr>
        <w:t>. In each case innovation relates to the introduction of new products and services, upgrades to business processes and also to changes in strategy, management approaches or marketing. At a local level innovation is also self-reinforcing and capable of producing virtuous circles – firms located in innovative areas are themselves more innovative</w:t>
      </w:r>
      <w:r w:rsidR="00E72E43" w:rsidRPr="00DE2445">
        <w:rPr>
          <w:rStyle w:val="EndnoteReference"/>
          <w:rFonts w:ascii="Arial" w:hAnsi="Arial" w:cs="Arial"/>
        </w:rPr>
        <w:endnoteReference w:id="2"/>
      </w:r>
      <w:r w:rsidR="00E72E43" w:rsidRPr="00DE2445">
        <w:rPr>
          <w:rFonts w:ascii="Arial" w:hAnsi="Arial" w:cs="Arial"/>
        </w:rPr>
        <w:t xml:space="preserve">. Increasing levels of innovation therefore represents a key policy target both at national and local level and the aim here is to provide some local innovation benchmarks. </w:t>
      </w:r>
    </w:p>
    <w:p w:rsidR="00E72E43" w:rsidRPr="00DE2445" w:rsidRDefault="00E72E43" w:rsidP="00844FD4">
      <w:pPr>
        <w:spacing w:line="240" w:lineRule="auto"/>
        <w:jc w:val="both"/>
        <w:rPr>
          <w:rFonts w:ascii="Arial" w:hAnsi="Arial" w:cs="Arial"/>
        </w:rPr>
      </w:pPr>
      <w:r w:rsidRPr="00DE2445">
        <w:rPr>
          <w:rFonts w:ascii="Arial" w:hAnsi="Arial" w:cs="Arial"/>
        </w:rPr>
        <w:t xml:space="preserve">The UK Innovation Survey used provides information for innovation for a large group of UK manufacturing and service sector establishments (i.e. business units or sites) as well as information on the barriers firms identify to innovation. The central questions considered here are: ‘how innovative are firms within individual Local Economic Areas?’ and ‘Within each </w:t>
      </w:r>
      <w:r w:rsidR="006D0FA6">
        <w:rPr>
          <w:rFonts w:ascii="Arial" w:hAnsi="Arial" w:cs="Arial"/>
        </w:rPr>
        <w:t>a</w:t>
      </w:r>
      <w:r w:rsidRPr="00DE2445">
        <w:rPr>
          <w:rFonts w:ascii="Arial" w:hAnsi="Arial" w:cs="Arial"/>
        </w:rPr>
        <w:t xml:space="preserve">rea what barriers do </w:t>
      </w:r>
      <w:proofErr w:type="gramStart"/>
      <w:r w:rsidRPr="00DE2445">
        <w:rPr>
          <w:rFonts w:ascii="Arial" w:hAnsi="Arial" w:cs="Arial"/>
        </w:rPr>
        <w:t>firms</w:t>
      </w:r>
      <w:proofErr w:type="gramEnd"/>
      <w:r w:rsidRPr="00DE2445">
        <w:rPr>
          <w:rFonts w:ascii="Arial" w:hAnsi="Arial" w:cs="Arial"/>
        </w:rPr>
        <w:t xml:space="preserve"> perceive to innovation?’</w:t>
      </w:r>
    </w:p>
    <w:p w:rsidR="00E72E43" w:rsidRPr="00DE2445" w:rsidRDefault="00E72E43" w:rsidP="00DE2445">
      <w:pPr>
        <w:spacing w:line="240" w:lineRule="auto"/>
        <w:jc w:val="both"/>
        <w:rPr>
          <w:rFonts w:ascii="Arial" w:hAnsi="Arial" w:cs="Arial"/>
        </w:rPr>
      </w:pPr>
    </w:p>
    <w:p w:rsidR="00E72E43" w:rsidRPr="00DE2445" w:rsidRDefault="00E72E43" w:rsidP="00844FD4">
      <w:pPr>
        <w:pStyle w:val="ListParagraph"/>
        <w:numPr>
          <w:ilvl w:val="0"/>
          <w:numId w:val="3"/>
        </w:numPr>
        <w:spacing w:line="240" w:lineRule="auto"/>
        <w:rPr>
          <w:rFonts w:ascii="Arial" w:hAnsi="Arial" w:cs="Arial"/>
          <w:b/>
        </w:rPr>
      </w:pPr>
      <w:r w:rsidRPr="00DE2445">
        <w:rPr>
          <w:rFonts w:ascii="Arial" w:hAnsi="Arial" w:cs="Arial"/>
          <w:b/>
        </w:rPr>
        <w:t xml:space="preserve">Local Economic Areas’ Innovation performance </w:t>
      </w:r>
    </w:p>
    <w:p w:rsidR="00844FD4" w:rsidRPr="00DE2445" w:rsidRDefault="00E72E43" w:rsidP="00844FD4">
      <w:pPr>
        <w:spacing w:line="240" w:lineRule="auto"/>
        <w:jc w:val="both"/>
        <w:rPr>
          <w:rFonts w:ascii="Arial" w:hAnsi="Arial" w:cs="Arial"/>
        </w:rPr>
      </w:pPr>
      <w:r w:rsidRPr="00DE2445">
        <w:rPr>
          <w:rFonts w:ascii="Arial" w:hAnsi="Arial" w:cs="Arial"/>
        </w:rPr>
        <w:t xml:space="preserve">Innovation can occur in products or services, business processes and firms’ strategy, management or organisation. We consider here innovation of each type (see Box 1). </w:t>
      </w:r>
      <w:r w:rsidRPr="00DE2445">
        <w:rPr>
          <w:rFonts w:ascii="Arial" w:hAnsi="Arial" w:cs="Arial"/>
        </w:rPr>
        <w:lastRenderedPageBreak/>
        <w:t>In terms of product and service innovation, Table 1 – at the end of the document - reports the proportion of innovating firms in each LE</w:t>
      </w:r>
      <w:r w:rsidR="00271ECC">
        <w:rPr>
          <w:rFonts w:ascii="Arial" w:hAnsi="Arial" w:cs="Arial"/>
        </w:rPr>
        <w:t>A</w:t>
      </w:r>
      <w:r w:rsidRPr="00DE2445">
        <w:rPr>
          <w:rFonts w:ascii="Arial" w:hAnsi="Arial" w:cs="Arial"/>
        </w:rPr>
        <w:t xml:space="preserve"> for the four periods 2002-04,2004-06, 2006-08 and 2008-10. Overall, at the English level the proportion of innovating firms has fallen somewhat dropping from 26 per cent in 2002-04 to 21 per cent in 2010. Around this English average performance in the individual LE</w:t>
      </w:r>
      <w:r w:rsidR="00271ECC">
        <w:rPr>
          <w:rFonts w:ascii="Arial" w:hAnsi="Arial" w:cs="Arial"/>
        </w:rPr>
        <w:t>A</w:t>
      </w:r>
      <w:r w:rsidRPr="00DE2445">
        <w:rPr>
          <w:rFonts w:ascii="Arial" w:hAnsi="Arial" w:cs="Arial"/>
        </w:rPr>
        <w:t>s varies significantly, however, from 30 per cent of product/service innovators in the most innovative LEP – South East</w:t>
      </w:r>
      <w:r w:rsidRPr="00DE2445">
        <w:rPr>
          <w:rFonts w:ascii="Arial" w:hAnsi="Arial" w:cs="Arial"/>
          <w:b/>
        </w:rPr>
        <w:t xml:space="preserve"> </w:t>
      </w:r>
      <w:r w:rsidRPr="00DE2445">
        <w:rPr>
          <w:rFonts w:ascii="Arial" w:hAnsi="Arial" w:cs="Arial"/>
        </w:rPr>
        <w:t xml:space="preserve">Midlands – to only 11 per cent in Cumbria (Table 1). Variability in product/service innovation performance between LEAs has, however, remained relatively consistent over the 2002-2010 </w:t>
      </w:r>
      <w:proofErr w:type="gramStart"/>
      <w:r w:rsidRPr="00DE2445">
        <w:rPr>
          <w:rFonts w:ascii="Arial" w:hAnsi="Arial" w:cs="Arial"/>
        </w:rPr>
        <w:t>period</w:t>
      </w:r>
      <w:proofErr w:type="gramEnd"/>
      <w:r w:rsidRPr="00DE2445">
        <w:rPr>
          <w:rStyle w:val="EndnoteReference"/>
          <w:rFonts w:ascii="Arial" w:hAnsi="Arial" w:cs="Arial"/>
        </w:rPr>
        <w:endnoteReference w:id="3"/>
      </w:r>
      <w:r w:rsidRPr="00DE2445">
        <w:rPr>
          <w:rFonts w:ascii="Arial" w:hAnsi="Arial" w:cs="Arial"/>
        </w:rPr>
        <w:t>.</w:t>
      </w:r>
      <w:r w:rsidR="00844FD4" w:rsidRPr="00DE2445">
        <w:rPr>
          <w:rFonts w:ascii="Arial" w:hAnsi="Arial" w:cs="Arial"/>
        </w:rPr>
        <w:t xml:space="preserve"> </w:t>
      </w:r>
    </w:p>
    <w:p w:rsidR="00BC7D7C" w:rsidRPr="00DE2445" w:rsidRDefault="00BC7D7C" w:rsidP="00844FD4">
      <w:pPr>
        <w:spacing w:line="240" w:lineRule="auto"/>
        <w:jc w:val="both"/>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13"/>
      </w:tblGrid>
      <w:tr w:rsidR="00844FD4" w:rsidRPr="00DE2445" w:rsidTr="00844FD4">
        <w:tc>
          <w:tcPr>
            <w:tcW w:w="8613" w:type="dxa"/>
            <w:shd w:val="clear" w:color="auto" w:fill="BFBFBF" w:themeFill="background1" w:themeFillShade="BF"/>
          </w:tcPr>
          <w:p w:rsidR="00844FD4" w:rsidRPr="00DE2445" w:rsidRDefault="00844FD4" w:rsidP="00BC7D7C">
            <w:pPr>
              <w:jc w:val="center"/>
              <w:rPr>
                <w:rFonts w:ascii="Arial" w:hAnsi="Arial" w:cs="Arial"/>
                <w:b/>
              </w:rPr>
            </w:pPr>
            <w:r w:rsidRPr="00DE2445">
              <w:rPr>
                <w:rFonts w:ascii="Arial" w:hAnsi="Arial" w:cs="Arial"/>
                <w:b/>
              </w:rPr>
              <w:t>Box 1: Defining innovation in the UK Innovation Survey</w:t>
            </w:r>
          </w:p>
          <w:p w:rsidR="00844FD4" w:rsidRPr="00DE2445" w:rsidRDefault="00844FD4" w:rsidP="00BC7D7C">
            <w:pPr>
              <w:jc w:val="center"/>
              <w:rPr>
                <w:rFonts w:ascii="Arial" w:hAnsi="Arial" w:cs="Arial"/>
                <w:b/>
              </w:rPr>
            </w:pPr>
          </w:p>
        </w:tc>
      </w:tr>
      <w:tr w:rsidR="00844FD4" w:rsidRPr="00DE2445" w:rsidTr="00844FD4">
        <w:tc>
          <w:tcPr>
            <w:tcW w:w="8613" w:type="dxa"/>
            <w:shd w:val="clear" w:color="auto" w:fill="BFBFBF" w:themeFill="background1" w:themeFillShade="BF"/>
          </w:tcPr>
          <w:p w:rsidR="00844FD4" w:rsidRPr="00DE2445" w:rsidRDefault="00844FD4" w:rsidP="00DE2445">
            <w:pPr>
              <w:autoSpaceDE w:val="0"/>
              <w:autoSpaceDN w:val="0"/>
              <w:adjustRightInd w:val="0"/>
              <w:jc w:val="both"/>
              <w:rPr>
                <w:rFonts w:ascii="Arial" w:hAnsi="Arial" w:cs="Arial"/>
              </w:rPr>
            </w:pPr>
            <w:r w:rsidRPr="00DE2445">
              <w:rPr>
                <w:rFonts w:ascii="Arial" w:hAnsi="Arial" w:cs="Arial"/>
                <w:bCs/>
              </w:rPr>
              <w:t>In the UK Innovation Survey</w:t>
            </w:r>
            <w:r w:rsidRPr="00DE2445">
              <w:rPr>
                <w:rFonts w:ascii="Arial" w:hAnsi="Arial" w:cs="Arial"/>
                <w:b/>
                <w:bCs/>
              </w:rPr>
              <w:t xml:space="preserve"> </w:t>
            </w:r>
            <w:r w:rsidRPr="00DE2445">
              <w:rPr>
                <w:rFonts w:ascii="Arial" w:hAnsi="Arial" w:cs="Arial"/>
                <w:bCs/>
                <w:i/>
              </w:rPr>
              <w:t>innovation</w:t>
            </w:r>
            <w:r w:rsidRPr="00DE2445">
              <w:rPr>
                <w:rFonts w:ascii="Arial" w:hAnsi="Arial" w:cs="Arial"/>
                <w:b/>
                <w:bCs/>
              </w:rPr>
              <w:t xml:space="preserve"> </w:t>
            </w:r>
            <w:r w:rsidRPr="00DE2445">
              <w:rPr>
                <w:rFonts w:ascii="Arial" w:hAnsi="Arial" w:cs="Arial"/>
                <w:bCs/>
              </w:rPr>
              <w:t>is defined as</w:t>
            </w:r>
            <w:r w:rsidRPr="00DE2445">
              <w:rPr>
                <w:rFonts w:ascii="Arial" w:hAnsi="Arial" w:cs="Arial"/>
                <w:b/>
                <w:bCs/>
              </w:rPr>
              <w:t xml:space="preserve"> </w:t>
            </w:r>
            <w:r w:rsidRPr="00DE2445">
              <w:rPr>
                <w:rFonts w:ascii="Arial" w:hAnsi="Arial" w:cs="Arial"/>
              </w:rPr>
              <w:t>major changes aimed at enhancing your competitive position, your performance, your know-how or your capabilities for future enhancements. These can be new or significantly improved goods, services or processes for making or providing them. It includes spending on innovation activities, for example on machinery and equipment, R&amp;D, training, goods and service design or marketing.</w:t>
            </w:r>
          </w:p>
        </w:tc>
      </w:tr>
      <w:tr w:rsidR="00844FD4" w:rsidRPr="00DE2445" w:rsidTr="00844FD4">
        <w:tc>
          <w:tcPr>
            <w:tcW w:w="8613" w:type="dxa"/>
            <w:shd w:val="clear" w:color="auto" w:fill="BFBFBF" w:themeFill="background1" w:themeFillShade="BF"/>
          </w:tcPr>
          <w:p w:rsidR="00844FD4" w:rsidRPr="00DE2445" w:rsidRDefault="00844FD4" w:rsidP="00DE2445">
            <w:pPr>
              <w:autoSpaceDE w:val="0"/>
              <w:autoSpaceDN w:val="0"/>
              <w:adjustRightInd w:val="0"/>
              <w:jc w:val="both"/>
              <w:rPr>
                <w:rFonts w:ascii="Arial" w:hAnsi="Arial" w:cs="Arial"/>
              </w:rPr>
            </w:pPr>
          </w:p>
        </w:tc>
      </w:tr>
      <w:tr w:rsidR="00844FD4" w:rsidRPr="00DE2445" w:rsidTr="00844FD4">
        <w:tc>
          <w:tcPr>
            <w:tcW w:w="8613" w:type="dxa"/>
            <w:shd w:val="clear" w:color="auto" w:fill="BFBFBF" w:themeFill="background1" w:themeFillShade="BF"/>
          </w:tcPr>
          <w:p w:rsidR="00844FD4" w:rsidRPr="00DE2445" w:rsidRDefault="00844FD4" w:rsidP="00DE2445">
            <w:pPr>
              <w:autoSpaceDE w:val="0"/>
              <w:autoSpaceDN w:val="0"/>
              <w:adjustRightInd w:val="0"/>
              <w:jc w:val="both"/>
              <w:rPr>
                <w:rFonts w:ascii="Arial" w:hAnsi="Arial" w:cs="Arial"/>
              </w:rPr>
            </w:pPr>
            <w:r w:rsidRPr="00DE2445">
              <w:rPr>
                <w:rFonts w:ascii="Arial" w:hAnsi="Arial" w:cs="Arial"/>
              </w:rPr>
              <w:t xml:space="preserve">A </w:t>
            </w:r>
            <w:r w:rsidRPr="00DE2445">
              <w:rPr>
                <w:rFonts w:ascii="Arial" w:hAnsi="Arial" w:cs="Arial"/>
                <w:i/>
              </w:rPr>
              <w:t>product or service innovation</w:t>
            </w:r>
            <w:r w:rsidRPr="00DE2445">
              <w:rPr>
                <w:rFonts w:ascii="Arial" w:hAnsi="Arial" w:cs="Arial"/>
              </w:rPr>
              <w:t xml:space="preserve"> is the market introduction of a </w:t>
            </w:r>
            <w:r w:rsidRPr="00DE2445">
              <w:rPr>
                <w:rFonts w:ascii="Arial" w:hAnsi="Arial" w:cs="Arial"/>
                <w:bCs/>
              </w:rPr>
              <w:t>new</w:t>
            </w:r>
            <w:r w:rsidRPr="00DE2445">
              <w:rPr>
                <w:rFonts w:ascii="Arial" w:hAnsi="Arial" w:cs="Arial"/>
                <w:b/>
                <w:bCs/>
              </w:rPr>
              <w:t xml:space="preserve"> </w:t>
            </w:r>
            <w:r w:rsidRPr="00DE2445">
              <w:rPr>
                <w:rFonts w:ascii="Arial" w:hAnsi="Arial" w:cs="Arial"/>
              </w:rPr>
              <w:t xml:space="preserve">good or service or a </w:t>
            </w:r>
            <w:r w:rsidRPr="00DE2445">
              <w:rPr>
                <w:rFonts w:ascii="Arial" w:hAnsi="Arial" w:cs="Arial"/>
                <w:bCs/>
              </w:rPr>
              <w:t xml:space="preserve">significantly </w:t>
            </w:r>
            <w:r w:rsidRPr="00DE2445">
              <w:rPr>
                <w:rFonts w:ascii="Arial" w:hAnsi="Arial" w:cs="Arial"/>
              </w:rPr>
              <w:t>improved good or service with respect to its capabilities, such as quality, user friendliness, software or subsystems.</w:t>
            </w:r>
          </w:p>
        </w:tc>
      </w:tr>
      <w:tr w:rsidR="00844FD4" w:rsidRPr="00DE2445" w:rsidTr="00844FD4">
        <w:tc>
          <w:tcPr>
            <w:tcW w:w="8613" w:type="dxa"/>
            <w:shd w:val="clear" w:color="auto" w:fill="BFBFBF" w:themeFill="background1" w:themeFillShade="BF"/>
          </w:tcPr>
          <w:p w:rsidR="00844FD4" w:rsidRPr="00DE2445" w:rsidRDefault="00844FD4" w:rsidP="00DE2445">
            <w:pPr>
              <w:autoSpaceDE w:val="0"/>
              <w:autoSpaceDN w:val="0"/>
              <w:adjustRightInd w:val="0"/>
              <w:jc w:val="both"/>
              <w:rPr>
                <w:rFonts w:ascii="Arial" w:hAnsi="Arial" w:cs="Arial"/>
              </w:rPr>
            </w:pPr>
          </w:p>
        </w:tc>
      </w:tr>
      <w:tr w:rsidR="00844FD4" w:rsidRPr="00DE2445" w:rsidTr="00844FD4">
        <w:tc>
          <w:tcPr>
            <w:tcW w:w="8613" w:type="dxa"/>
            <w:shd w:val="clear" w:color="auto" w:fill="BFBFBF" w:themeFill="background1" w:themeFillShade="BF"/>
          </w:tcPr>
          <w:p w:rsidR="00844FD4" w:rsidRPr="00DE2445" w:rsidRDefault="00844FD4" w:rsidP="00DE2445">
            <w:pPr>
              <w:jc w:val="both"/>
              <w:rPr>
                <w:rFonts w:ascii="Arial" w:hAnsi="Arial" w:cs="Arial"/>
              </w:rPr>
            </w:pPr>
            <w:r w:rsidRPr="00DE2445">
              <w:rPr>
                <w:rFonts w:ascii="Arial" w:hAnsi="Arial" w:cs="Arial"/>
                <w:i/>
              </w:rPr>
              <w:t>Process innovation</w:t>
            </w:r>
            <w:r w:rsidRPr="00DE2445">
              <w:rPr>
                <w:rFonts w:ascii="Arial" w:hAnsi="Arial" w:cs="Arial"/>
              </w:rPr>
              <w:t xml:space="preserve"> is the use of new or significantly improved methods for the production or supply of goods and services.</w:t>
            </w:r>
          </w:p>
        </w:tc>
      </w:tr>
      <w:tr w:rsidR="00844FD4" w:rsidRPr="00DE2445" w:rsidTr="00844FD4">
        <w:tc>
          <w:tcPr>
            <w:tcW w:w="8613" w:type="dxa"/>
            <w:shd w:val="clear" w:color="auto" w:fill="BFBFBF" w:themeFill="background1" w:themeFillShade="BF"/>
          </w:tcPr>
          <w:p w:rsidR="00844FD4" w:rsidRPr="00DE2445" w:rsidRDefault="00844FD4" w:rsidP="00DE2445">
            <w:pPr>
              <w:autoSpaceDE w:val="0"/>
              <w:autoSpaceDN w:val="0"/>
              <w:adjustRightInd w:val="0"/>
              <w:jc w:val="both"/>
              <w:rPr>
                <w:rFonts w:ascii="Arial" w:hAnsi="Arial" w:cs="Arial"/>
                <w:i/>
              </w:rPr>
            </w:pPr>
          </w:p>
          <w:p w:rsidR="00844FD4" w:rsidRPr="00DE2445" w:rsidRDefault="00844FD4" w:rsidP="00DE2445">
            <w:pPr>
              <w:autoSpaceDE w:val="0"/>
              <w:autoSpaceDN w:val="0"/>
              <w:adjustRightInd w:val="0"/>
              <w:jc w:val="both"/>
              <w:rPr>
                <w:rFonts w:ascii="Arial" w:hAnsi="Arial" w:cs="Arial"/>
              </w:rPr>
            </w:pPr>
            <w:r w:rsidRPr="00DE2445">
              <w:rPr>
                <w:rFonts w:ascii="Arial" w:hAnsi="Arial" w:cs="Arial"/>
                <w:i/>
              </w:rPr>
              <w:t>Other innovations</w:t>
            </w:r>
            <w:r w:rsidRPr="00DE2445">
              <w:rPr>
                <w:rFonts w:ascii="Arial" w:hAnsi="Arial" w:cs="Arial"/>
              </w:rPr>
              <w:t xml:space="preserve"> may relate to new or significantly amended forms of organisation, business structures or practices, aimed at step changes in internal efficiency of effectiveness or in approaching markets and customers. These might be:</w:t>
            </w:r>
          </w:p>
        </w:tc>
      </w:tr>
      <w:tr w:rsidR="00844FD4" w:rsidRPr="00DE2445" w:rsidTr="00844FD4">
        <w:tc>
          <w:tcPr>
            <w:tcW w:w="8613" w:type="dxa"/>
            <w:shd w:val="clear" w:color="auto" w:fill="BFBFBF" w:themeFill="background1" w:themeFillShade="BF"/>
          </w:tcPr>
          <w:p w:rsidR="00844FD4" w:rsidRPr="00DE2445" w:rsidRDefault="00844FD4" w:rsidP="00DE2445">
            <w:pPr>
              <w:pStyle w:val="ListParagraph"/>
              <w:numPr>
                <w:ilvl w:val="0"/>
                <w:numId w:val="4"/>
              </w:numPr>
              <w:autoSpaceDE w:val="0"/>
              <w:autoSpaceDN w:val="0"/>
              <w:adjustRightInd w:val="0"/>
              <w:jc w:val="both"/>
              <w:rPr>
                <w:rFonts w:ascii="Arial" w:hAnsi="Arial" w:cs="Arial"/>
                <w:b/>
                <w:bCs/>
              </w:rPr>
            </w:pPr>
            <w:r w:rsidRPr="00DE2445">
              <w:rPr>
                <w:rFonts w:ascii="Arial" w:hAnsi="Arial" w:cs="Arial"/>
              </w:rPr>
              <w:t xml:space="preserve">Implementation of a new or significantly changed </w:t>
            </w:r>
            <w:r w:rsidRPr="00DE2445">
              <w:rPr>
                <w:rFonts w:ascii="Arial" w:hAnsi="Arial" w:cs="Arial"/>
                <w:bCs/>
                <w:i/>
              </w:rPr>
              <w:t>corporate strategy</w:t>
            </w:r>
          </w:p>
        </w:tc>
      </w:tr>
      <w:tr w:rsidR="00844FD4" w:rsidRPr="00DE2445" w:rsidTr="00844FD4">
        <w:tc>
          <w:tcPr>
            <w:tcW w:w="8613" w:type="dxa"/>
            <w:shd w:val="clear" w:color="auto" w:fill="BFBFBF" w:themeFill="background1" w:themeFillShade="BF"/>
          </w:tcPr>
          <w:p w:rsidR="00844FD4" w:rsidRPr="00DE2445" w:rsidRDefault="00844FD4" w:rsidP="00DE2445">
            <w:pPr>
              <w:pStyle w:val="ListParagraph"/>
              <w:numPr>
                <w:ilvl w:val="0"/>
                <w:numId w:val="4"/>
              </w:numPr>
              <w:autoSpaceDE w:val="0"/>
              <w:autoSpaceDN w:val="0"/>
              <w:adjustRightInd w:val="0"/>
              <w:jc w:val="both"/>
              <w:rPr>
                <w:rFonts w:ascii="Arial" w:hAnsi="Arial" w:cs="Arial"/>
              </w:rPr>
            </w:pPr>
            <w:r w:rsidRPr="00DE2445">
              <w:rPr>
                <w:rFonts w:ascii="Arial" w:hAnsi="Arial" w:cs="Arial"/>
              </w:rPr>
              <w:t xml:space="preserve">Implementation of </w:t>
            </w:r>
            <w:r w:rsidRPr="00DE2445">
              <w:rPr>
                <w:rFonts w:ascii="Arial" w:hAnsi="Arial" w:cs="Arial"/>
                <w:bCs/>
                <w:i/>
              </w:rPr>
              <w:t>advanced management techniques</w:t>
            </w:r>
            <w:r w:rsidRPr="00DE2445">
              <w:rPr>
                <w:rFonts w:ascii="Arial" w:hAnsi="Arial" w:cs="Arial"/>
                <w:b/>
                <w:bCs/>
              </w:rPr>
              <w:t xml:space="preserve"> </w:t>
            </w:r>
            <w:r w:rsidRPr="00DE2445">
              <w:rPr>
                <w:rFonts w:ascii="Arial" w:hAnsi="Arial" w:cs="Arial"/>
              </w:rPr>
              <w:t>within your enterprise e.g. knowledge management systems, Investors in People</w:t>
            </w:r>
          </w:p>
        </w:tc>
      </w:tr>
      <w:tr w:rsidR="00844FD4" w:rsidRPr="00DE2445" w:rsidTr="00844FD4">
        <w:tc>
          <w:tcPr>
            <w:tcW w:w="8613" w:type="dxa"/>
            <w:shd w:val="clear" w:color="auto" w:fill="BFBFBF" w:themeFill="background1" w:themeFillShade="BF"/>
          </w:tcPr>
          <w:p w:rsidR="00844FD4" w:rsidRPr="00DE2445" w:rsidRDefault="00844FD4" w:rsidP="00DE2445">
            <w:pPr>
              <w:pStyle w:val="ListParagraph"/>
              <w:numPr>
                <w:ilvl w:val="0"/>
                <w:numId w:val="4"/>
              </w:numPr>
              <w:autoSpaceDE w:val="0"/>
              <w:autoSpaceDN w:val="0"/>
              <w:adjustRightInd w:val="0"/>
              <w:jc w:val="both"/>
              <w:rPr>
                <w:rFonts w:ascii="Arial" w:hAnsi="Arial" w:cs="Arial"/>
                <w:b/>
                <w:bCs/>
              </w:rPr>
            </w:pPr>
            <w:r w:rsidRPr="00DE2445">
              <w:rPr>
                <w:rFonts w:ascii="Arial" w:hAnsi="Arial" w:cs="Arial"/>
              </w:rPr>
              <w:t xml:space="preserve">Implementation of major changes to your </w:t>
            </w:r>
            <w:r w:rsidRPr="00DE2445">
              <w:rPr>
                <w:rFonts w:ascii="Arial" w:hAnsi="Arial" w:cs="Arial"/>
                <w:bCs/>
                <w:i/>
              </w:rPr>
              <w:t>organisational structure</w:t>
            </w:r>
            <w:r w:rsidRPr="00DE2445">
              <w:rPr>
                <w:rFonts w:ascii="Arial" w:hAnsi="Arial" w:cs="Arial"/>
                <w:b/>
                <w:bCs/>
              </w:rPr>
              <w:t xml:space="preserve"> </w:t>
            </w:r>
            <w:r w:rsidRPr="00DE2445">
              <w:rPr>
                <w:rFonts w:ascii="Arial" w:hAnsi="Arial" w:cs="Arial"/>
              </w:rPr>
              <w:t>e.g. introduction of cross-functional teams, outsourcing of major business functions.</w:t>
            </w:r>
          </w:p>
        </w:tc>
      </w:tr>
      <w:tr w:rsidR="00844FD4" w:rsidRPr="00DE2445" w:rsidTr="00844FD4">
        <w:tc>
          <w:tcPr>
            <w:tcW w:w="8613" w:type="dxa"/>
            <w:shd w:val="clear" w:color="auto" w:fill="BFBFBF" w:themeFill="background1" w:themeFillShade="BF"/>
          </w:tcPr>
          <w:p w:rsidR="00844FD4" w:rsidRPr="00DE2445" w:rsidRDefault="00844FD4" w:rsidP="00DE2445">
            <w:pPr>
              <w:pStyle w:val="ListParagraph"/>
              <w:numPr>
                <w:ilvl w:val="0"/>
                <w:numId w:val="4"/>
              </w:numPr>
              <w:autoSpaceDE w:val="0"/>
              <w:autoSpaceDN w:val="0"/>
              <w:adjustRightInd w:val="0"/>
              <w:jc w:val="both"/>
              <w:rPr>
                <w:rFonts w:ascii="Arial" w:hAnsi="Arial" w:cs="Arial"/>
              </w:rPr>
            </w:pPr>
            <w:r w:rsidRPr="00DE2445">
              <w:rPr>
                <w:rFonts w:ascii="Arial" w:hAnsi="Arial" w:cs="Arial"/>
              </w:rPr>
              <w:t xml:space="preserve">Implementation of changes in </w:t>
            </w:r>
            <w:r w:rsidRPr="00DE2445">
              <w:rPr>
                <w:rFonts w:ascii="Arial" w:hAnsi="Arial" w:cs="Arial"/>
                <w:i/>
              </w:rPr>
              <w:t>marketing concepts</w:t>
            </w:r>
            <w:r w:rsidRPr="00DE2445">
              <w:rPr>
                <w:rFonts w:ascii="Arial" w:hAnsi="Arial" w:cs="Arial"/>
              </w:rPr>
              <w:t xml:space="preserve"> or strategies, e.g. packaging or presentational changes to a product to target new markets, new support services to open up new markets.</w:t>
            </w:r>
          </w:p>
        </w:tc>
      </w:tr>
    </w:tbl>
    <w:p w:rsidR="00844FD4" w:rsidRPr="00DE2445" w:rsidRDefault="00844FD4" w:rsidP="00844FD4">
      <w:pPr>
        <w:spacing w:line="240" w:lineRule="auto"/>
        <w:rPr>
          <w:rFonts w:ascii="Arial" w:hAnsi="Arial" w:cs="Arial"/>
          <w:b/>
        </w:rPr>
      </w:pPr>
    </w:p>
    <w:p w:rsidR="00844FD4" w:rsidRPr="00DE2445" w:rsidRDefault="00844FD4" w:rsidP="00844FD4">
      <w:pPr>
        <w:spacing w:line="240" w:lineRule="auto"/>
        <w:jc w:val="both"/>
        <w:rPr>
          <w:rFonts w:ascii="Arial" w:hAnsi="Arial" w:cs="Arial"/>
        </w:rPr>
      </w:pPr>
      <w:r w:rsidRPr="00DE2445">
        <w:rPr>
          <w:rFonts w:ascii="Arial" w:hAnsi="Arial" w:cs="Arial"/>
        </w:rPr>
        <w:t xml:space="preserve">For individual LEAs the proportion of innovating firms varies somewhat between surveys (see also Figure A1.1) and innovating proportions also vary relative to the average. One way of reflecting this variation is to calculate the 95 per cent confidence intervals which relates to each LEP estimate and these are depicted in Figure 1 for the period 2008-10 (see Annex 1 for derivation). Where the number of respondents in any individual LEP is large – e.g. South East England – estimates are more precise and the confidence interval is narrower. Larger confidence intervals are associated with smaller numbers of respondents in any given LEP. While overall levels of innovative activity suggest a clear gradient in levels of innovative activity the standard errors attached to these estimates are (generally) relatively large and often overlapping. Thus while we can be 95 per cent confident that levels of product/service activity in South </w:t>
      </w:r>
      <w:r w:rsidRPr="00DE2445">
        <w:rPr>
          <w:rFonts w:ascii="Arial" w:hAnsi="Arial" w:cs="Arial"/>
        </w:rPr>
        <w:lastRenderedPageBreak/>
        <w:t xml:space="preserve">East Midlands was greater than that in Thames Valley (and all LEAs to the right of this in Figure 1) we cannot differentiate statistically between levels of product/service innovation in South-East Midlands and, say, Tees Valley.  </w:t>
      </w:r>
    </w:p>
    <w:p w:rsidR="00844FD4" w:rsidRPr="00DE2445" w:rsidRDefault="00844FD4" w:rsidP="00844FD4">
      <w:pPr>
        <w:spacing w:line="240" w:lineRule="auto"/>
        <w:rPr>
          <w:rFonts w:ascii="Arial" w:eastAsia="Times New Roman" w:hAnsi="Arial" w:cs="Arial"/>
          <w:b/>
          <w:bCs/>
          <w:color w:val="000000"/>
        </w:rPr>
      </w:pPr>
    </w:p>
    <w:p w:rsidR="00844FD4" w:rsidRPr="00DE2445" w:rsidRDefault="00844FD4" w:rsidP="00844FD4">
      <w:pPr>
        <w:spacing w:line="240" w:lineRule="auto"/>
        <w:jc w:val="center"/>
        <w:rPr>
          <w:rFonts w:ascii="Arial" w:hAnsi="Arial" w:cs="Arial"/>
          <w:b/>
        </w:rPr>
      </w:pPr>
      <w:r w:rsidRPr="00DE2445">
        <w:rPr>
          <w:rFonts w:ascii="Arial" w:hAnsi="Arial" w:cs="Arial"/>
          <w:b/>
        </w:rPr>
        <w:t>Figure 1: Proportion of product/service innovators: By LE</w:t>
      </w:r>
      <w:r w:rsidR="00271ECC">
        <w:rPr>
          <w:rFonts w:ascii="Arial" w:hAnsi="Arial" w:cs="Arial"/>
          <w:b/>
        </w:rPr>
        <w:t>A</w:t>
      </w:r>
      <w:r w:rsidRPr="00DE2445">
        <w:rPr>
          <w:rFonts w:ascii="Arial" w:hAnsi="Arial" w:cs="Arial"/>
          <w:b/>
        </w:rPr>
        <w:t xml:space="preserve"> 2008-10</w:t>
      </w:r>
    </w:p>
    <w:p w:rsidR="00844FD4" w:rsidRPr="00DE2445" w:rsidRDefault="00844FD4" w:rsidP="00844FD4">
      <w:pPr>
        <w:spacing w:line="240" w:lineRule="auto"/>
        <w:jc w:val="center"/>
        <w:rPr>
          <w:rFonts w:ascii="Arial" w:hAnsi="Arial" w:cs="Arial"/>
          <w:b/>
        </w:rPr>
      </w:pPr>
      <w:r w:rsidRPr="00DE2445">
        <w:rPr>
          <w:rFonts w:ascii="Arial" w:hAnsi="Arial" w:cs="Arial"/>
          <w:b/>
          <w:noProof/>
          <w:lang w:eastAsia="en-GB"/>
        </w:rPr>
        <w:drawing>
          <wp:inline distT="0" distB="0" distL="0" distR="0">
            <wp:extent cx="4880631" cy="319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0182" cy="3190581"/>
                    </a:xfrm>
                    <a:prstGeom prst="rect">
                      <a:avLst/>
                    </a:prstGeom>
                    <a:noFill/>
                  </pic:spPr>
                </pic:pic>
              </a:graphicData>
            </a:graphic>
          </wp:inline>
        </w:drawing>
      </w:r>
    </w:p>
    <w:p w:rsidR="00844FD4" w:rsidRPr="00DE2445" w:rsidRDefault="00844FD4" w:rsidP="00844FD4">
      <w:pPr>
        <w:spacing w:line="240" w:lineRule="auto"/>
        <w:jc w:val="center"/>
        <w:rPr>
          <w:rFonts w:ascii="Arial" w:hAnsi="Arial" w:cs="Arial"/>
        </w:rPr>
      </w:pPr>
      <w:r w:rsidRPr="00DE2445">
        <w:rPr>
          <w:rFonts w:ascii="Arial" w:hAnsi="Arial" w:cs="Arial"/>
          <w:b/>
        </w:rPr>
        <w:t>Notes:</w:t>
      </w:r>
      <w:r w:rsidRPr="00DE2445">
        <w:rPr>
          <w:rFonts w:ascii="Arial" w:hAnsi="Arial" w:cs="Arial"/>
        </w:rPr>
        <w:t xml:space="preserve"> Responses are weighted. Point estimates and standard deviations depicted. </w:t>
      </w:r>
    </w:p>
    <w:p w:rsidR="00844FD4" w:rsidRPr="00DE2445" w:rsidRDefault="00844FD4" w:rsidP="00844FD4">
      <w:pPr>
        <w:rPr>
          <w:rFonts w:ascii="Arial" w:eastAsia="Times New Roman" w:hAnsi="Arial" w:cs="Arial"/>
          <w:b/>
          <w:bCs/>
          <w:color w:val="000000"/>
        </w:rPr>
      </w:pPr>
    </w:p>
    <w:p w:rsidR="00844FD4" w:rsidRPr="00DE2445" w:rsidRDefault="00844FD4" w:rsidP="00BC7D7C">
      <w:pPr>
        <w:spacing w:line="240" w:lineRule="auto"/>
        <w:jc w:val="both"/>
        <w:rPr>
          <w:rFonts w:ascii="Arial" w:eastAsia="Times New Roman" w:hAnsi="Arial" w:cs="Arial"/>
          <w:b/>
          <w:bCs/>
          <w:color w:val="000000"/>
        </w:rPr>
      </w:pPr>
      <w:r w:rsidRPr="00DE2445">
        <w:rPr>
          <w:rFonts w:ascii="Arial" w:hAnsi="Arial" w:cs="Arial"/>
        </w:rPr>
        <w:t xml:space="preserve">One alternative approach to examining the development of </w:t>
      </w:r>
      <w:r w:rsidRPr="00DE2445">
        <w:rPr>
          <w:rFonts w:ascii="Arial" w:hAnsi="Arial" w:cs="Arial"/>
          <w:caps/>
        </w:rPr>
        <w:t>LEA</w:t>
      </w:r>
      <w:r w:rsidRPr="00DE2445">
        <w:rPr>
          <w:rFonts w:ascii="Arial" w:hAnsi="Arial" w:cs="Arial"/>
        </w:rPr>
        <w:t xml:space="preserve">s innovation activity is to examine whether performance is above or below the national (English) average and to consider how this has changed over the 2002-4 to 2008-10 </w:t>
      </w:r>
      <w:proofErr w:type="gramStart"/>
      <w:r w:rsidRPr="00DE2445">
        <w:rPr>
          <w:rFonts w:ascii="Arial" w:hAnsi="Arial" w:cs="Arial"/>
        </w:rPr>
        <w:t>period</w:t>
      </w:r>
      <w:proofErr w:type="gramEnd"/>
      <w:r w:rsidRPr="00DE2445">
        <w:rPr>
          <w:rFonts w:ascii="Arial" w:hAnsi="Arial" w:cs="Arial"/>
        </w:rPr>
        <w:t>. Figure 2 gives this comparison for product/service innovation identifying four groups of LEAs. Nine LEAs including Humber had deteriorated in their position having had above average levels of product/service innovation activity in 2002-04 but falling below average by 2008-10. A further 12 LEAs including South East Midlands had sustained above average levels of product innovation activity in both periods.  Another twelve LEAs were below average in terms of innovation in 2002-04 and remained in this position in 2008-10. The final group of six LEAs had strengthening levels of product/service innovation, having been below average in 2002-04 but above average in 2008-10.</w:t>
      </w:r>
    </w:p>
    <w:p w:rsidR="00DE2445" w:rsidRPr="00DE2445" w:rsidRDefault="00DE2445">
      <w:pPr>
        <w:rPr>
          <w:rFonts w:ascii="Arial" w:hAnsi="Arial" w:cs="Arial"/>
          <w:b/>
        </w:rPr>
      </w:pPr>
      <w:r w:rsidRPr="00DE2445">
        <w:rPr>
          <w:rFonts w:ascii="Arial" w:hAnsi="Arial" w:cs="Arial"/>
          <w:b/>
        </w:rPr>
        <w:br w:type="page"/>
      </w:r>
    </w:p>
    <w:p w:rsidR="00844FD4" w:rsidRPr="00DE2445" w:rsidRDefault="00844FD4" w:rsidP="00844FD4">
      <w:pPr>
        <w:jc w:val="center"/>
        <w:rPr>
          <w:rFonts w:ascii="Arial" w:hAnsi="Arial" w:cs="Arial"/>
          <w:b/>
        </w:rPr>
      </w:pPr>
      <w:r w:rsidRPr="00DE2445">
        <w:rPr>
          <w:rFonts w:ascii="Arial" w:hAnsi="Arial" w:cs="Arial"/>
          <w:b/>
        </w:rPr>
        <w:lastRenderedPageBreak/>
        <w:t>Figure 2: Strengthening and weakening product/service innovation performance: 2002-04 to 2008-10</w:t>
      </w:r>
    </w:p>
    <w:tbl>
      <w:tblPr>
        <w:tblStyle w:val="TableGrid"/>
        <w:tblW w:w="0" w:type="auto"/>
        <w:tblLook w:val="04A0" w:firstRow="1" w:lastRow="0" w:firstColumn="1" w:lastColumn="0" w:noHBand="0" w:noVBand="1"/>
      </w:tblPr>
      <w:tblGrid>
        <w:gridCol w:w="4077"/>
        <w:gridCol w:w="3828"/>
      </w:tblGrid>
      <w:tr w:rsidR="00844FD4" w:rsidRPr="00DE2445" w:rsidTr="00844FD4">
        <w:tc>
          <w:tcPr>
            <w:tcW w:w="4077" w:type="dxa"/>
          </w:tcPr>
          <w:p w:rsidR="00844FD4" w:rsidRPr="00DE2445" w:rsidRDefault="00844FD4" w:rsidP="00BC7D7C">
            <w:pPr>
              <w:rPr>
                <w:rFonts w:ascii="Arial" w:eastAsia="Times New Roman" w:hAnsi="Arial" w:cs="Arial"/>
                <w:b/>
                <w:i/>
                <w:color w:val="000000"/>
              </w:rPr>
            </w:pPr>
            <w:r w:rsidRPr="00DE2445">
              <w:rPr>
                <w:rFonts w:ascii="Arial" w:eastAsia="Times New Roman" w:hAnsi="Arial" w:cs="Arial"/>
                <w:b/>
                <w:i/>
                <w:color w:val="000000"/>
              </w:rPr>
              <w:t xml:space="preserve">Losing Ground </w:t>
            </w:r>
          </w:p>
          <w:p w:rsidR="00844FD4" w:rsidRPr="00DE2445" w:rsidRDefault="00844FD4" w:rsidP="00BC7D7C">
            <w:pPr>
              <w:rPr>
                <w:rFonts w:ascii="Arial" w:eastAsia="Times New Roman" w:hAnsi="Arial" w:cs="Arial"/>
                <w:i/>
                <w:color w:val="000000"/>
              </w:rPr>
            </w:pPr>
          </w:p>
          <w:p w:rsidR="00844FD4" w:rsidRPr="00DE2445" w:rsidRDefault="00844FD4" w:rsidP="00BC7D7C">
            <w:pPr>
              <w:rPr>
                <w:rFonts w:ascii="Arial" w:eastAsia="Times New Roman" w:hAnsi="Arial" w:cs="Arial"/>
                <w:i/>
                <w:color w:val="000000"/>
              </w:rPr>
            </w:pPr>
            <w:r w:rsidRPr="00DE2445">
              <w:rPr>
                <w:rFonts w:ascii="Arial" w:eastAsia="Times New Roman" w:hAnsi="Arial" w:cs="Arial"/>
                <w:i/>
                <w:color w:val="000000"/>
              </w:rPr>
              <w:t>Humber</w:t>
            </w:r>
          </w:p>
          <w:p w:rsidR="00844FD4" w:rsidRPr="00DE2445" w:rsidRDefault="00844FD4" w:rsidP="00BC7D7C">
            <w:pPr>
              <w:rPr>
                <w:rFonts w:ascii="Arial" w:eastAsia="Times New Roman" w:hAnsi="Arial" w:cs="Arial"/>
                <w:i/>
                <w:color w:val="000000"/>
              </w:rPr>
            </w:pPr>
            <w:r w:rsidRPr="00DE2445">
              <w:rPr>
                <w:rFonts w:ascii="Arial" w:eastAsia="Times New Roman" w:hAnsi="Arial" w:cs="Arial"/>
                <w:i/>
                <w:color w:val="000000"/>
              </w:rPr>
              <w:t>Sheffield City Region</w:t>
            </w:r>
          </w:p>
          <w:p w:rsidR="00844FD4" w:rsidRPr="00DE2445" w:rsidRDefault="00844FD4" w:rsidP="00BC7D7C">
            <w:pPr>
              <w:rPr>
                <w:rFonts w:ascii="Arial" w:eastAsia="Times New Roman" w:hAnsi="Arial" w:cs="Arial"/>
                <w:i/>
                <w:color w:val="000000"/>
              </w:rPr>
            </w:pPr>
            <w:r w:rsidRPr="00DE2445">
              <w:rPr>
                <w:rFonts w:ascii="Arial" w:eastAsia="Times New Roman" w:hAnsi="Arial" w:cs="Arial"/>
                <w:i/>
                <w:color w:val="000000"/>
              </w:rPr>
              <w:t>London</w:t>
            </w:r>
          </w:p>
          <w:p w:rsidR="00844FD4" w:rsidRPr="00DE2445" w:rsidRDefault="00BC7D7C" w:rsidP="00BC7D7C">
            <w:pPr>
              <w:rPr>
                <w:rFonts w:ascii="Arial" w:eastAsia="Times New Roman" w:hAnsi="Arial" w:cs="Arial"/>
                <w:i/>
                <w:color w:val="000000"/>
              </w:rPr>
            </w:pPr>
            <w:r w:rsidRPr="00DE2445">
              <w:rPr>
                <w:rFonts w:ascii="Arial" w:eastAsia="Times New Roman" w:hAnsi="Arial" w:cs="Arial"/>
                <w:i/>
                <w:color w:val="000000"/>
              </w:rPr>
              <w:t>Leicester and Leicestershire</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Cornwall and Isles of</w:t>
            </w:r>
            <w:r w:rsidR="00BC7D7C" w:rsidRPr="00DE2445">
              <w:rPr>
                <w:rFonts w:ascii="Arial" w:eastAsia="Times New Roman" w:hAnsi="Arial" w:cs="Arial"/>
                <w:color w:val="000000"/>
              </w:rPr>
              <w:t xml:space="preserve"> Scilly</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Liverpool City Region</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Coventry and Warwicks</w:t>
            </w:r>
            <w:r w:rsidR="00BC7D7C" w:rsidRPr="00DE2445">
              <w:rPr>
                <w:rFonts w:ascii="Arial" w:eastAsia="Times New Roman" w:hAnsi="Arial" w:cs="Arial"/>
                <w:color w:val="000000"/>
              </w:rPr>
              <w:t>hire</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Thames Valley Berkshi</w:t>
            </w:r>
            <w:r w:rsidR="00BC7D7C" w:rsidRPr="00DE2445">
              <w:rPr>
                <w:rFonts w:ascii="Arial" w:eastAsia="Times New Roman" w:hAnsi="Arial" w:cs="Arial"/>
                <w:color w:val="000000"/>
              </w:rPr>
              <w:t>re</w:t>
            </w:r>
          </w:p>
          <w:p w:rsidR="00844FD4" w:rsidRPr="00DE2445" w:rsidRDefault="00844FD4" w:rsidP="00BC7D7C">
            <w:pPr>
              <w:rPr>
                <w:rFonts w:ascii="Arial" w:hAnsi="Arial" w:cs="Arial"/>
                <w:b/>
              </w:rPr>
            </w:pPr>
            <w:r w:rsidRPr="00DE2445">
              <w:rPr>
                <w:rFonts w:ascii="Arial" w:eastAsia="Times New Roman" w:hAnsi="Arial" w:cs="Arial"/>
                <w:color w:val="000000"/>
              </w:rPr>
              <w:t>Worcestershire</w:t>
            </w:r>
          </w:p>
        </w:tc>
        <w:tc>
          <w:tcPr>
            <w:tcW w:w="3828" w:type="dxa"/>
          </w:tcPr>
          <w:p w:rsidR="00844FD4" w:rsidRPr="00DE2445" w:rsidRDefault="00844FD4" w:rsidP="00BC7D7C">
            <w:pPr>
              <w:rPr>
                <w:rFonts w:ascii="Arial" w:eastAsia="Times New Roman" w:hAnsi="Arial" w:cs="Arial"/>
                <w:b/>
                <w:i/>
                <w:color w:val="000000"/>
              </w:rPr>
            </w:pPr>
            <w:r w:rsidRPr="00DE2445">
              <w:rPr>
                <w:rFonts w:ascii="Arial" w:eastAsia="Times New Roman" w:hAnsi="Arial" w:cs="Arial"/>
                <w:b/>
                <w:i/>
                <w:color w:val="000000"/>
              </w:rPr>
              <w:t>Strong Performers</w:t>
            </w:r>
          </w:p>
          <w:p w:rsidR="00844FD4" w:rsidRPr="00DE2445" w:rsidRDefault="00844FD4" w:rsidP="00BC7D7C">
            <w:pPr>
              <w:rPr>
                <w:rFonts w:ascii="Arial" w:eastAsia="Times New Roman" w:hAnsi="Arial" w:cs="Arial"/>
                <w:color w:val="000000"/>
              </w:rPr>
            </w:pP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 xml:space="preserve">West of England </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Derby, Derbyshire, No</w:t>
            </w:r>
            <w:r w:rsidR="00BC7D7C" w:rsidRPr="00DE2445">
              <w:rPr>
                <w:rFonts w:ascii="Arial" w:eastAsia="Times New Roman" w:hAnsi="Arial" w:cs="Arial"/>
                <w:color w:val="000000"/>
              </w:rPr>
              <w:t>ttingham and Notts.</w:t>
            </w:r>
            <w:r w:rsidRPr="00DE2445">
              <w:rPr>
                <w:rFonts w:ascii="Arial" w:eastAsia="Times New Roman" w:hAnsi="Arial" w:cs="Arial"/>
                <w:color w:val="000000"/>
              </w:rPr>
              <w:t xml:space="preserve"> </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North Eastern</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Dorset</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 xml:space="preserve">Northamptonshire </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 xml:space="preserve">Greater Cambridge </w:t>
            </w:r>
            <w:r w:rsidR="00BC7D7C" w:rsidRPr="00DE2445">
              <w:rPr>
                <w:rFonts w:ascii="Arial" w:eastAsia="Times New Roman" w:hAnsi="Arial" w:cs="Arial"/>
                <w:color w:val="000000"/>
              </w:rPr>
              <w:t>&amp; Peterborough</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Enterprise M3</w:t>
            </w:r>
          </w:p>
          <w:p w:rsidR="00844FD4" w:rsidRPr="00DE2445" w:rsidRDefault="00BC7D7C" w:rsidP="00BC7D7C">
            <w:pPr>
              <w:rPr>
                <w:rFonts w:ascii="Arial" w:eastAsia="Times New Roman" w:hAnsi="Arial" w:cs="Arial"/>
                <w:color w:val="000000"/>
              </w:rPr>
            </w:pPr>
            <w:r w:rsidRPr="00DE2445">
              <w:rPr>
                <w:rFonts w:ascii="Arial" w:eastAsia="Times New Roman" w:hAnsi="Arial" w:cs="Arial"/>
                <w:color w:val="000000"/>
              </w:rPr>
              <w:t>Cheshire and Warrington</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South East Midlands</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Buckinghamshire Thame</w:t>
            </w:r>
            <w:r w:rsidR="00BC7D7C" w:rsidRPr="00DE2445">
              <w:rPr>
                <w:rFonts w:ascii="Arial" w:eastAsia="Times New Roman" w:hAnsi="Arial" w:cs="Arial"/>
                <w:color w:val="000000"/>
              </w:rPr>
              <w:t>s Valley</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Oxfordshire</w:t>
            </w:r>
          </w:p>
          <w:p w:rsidR="00844FD4" w:rsidRPr="00DE2445" w:rsidRDefault="00844FD4" w:rsidP="00BC7D7C">
            <w:pPr>
              <w:rPr>
                <w:rFonts w:ascii="Arial" w:hAnsi="Arial" w:cs="Arial"/>
                <w:b/>
              </w:rPr>
            </w:pPr>
            <w:r w:rsidRPr="00DE2445">
              <w:rPr>
                <w:rFonts w:ascii="Arial" w:eastAsia="Times New Roman" w:hAnsi="Arial" w:cs="Arial"/>
                <w:color w:val="000000"/>
              </w:rPr>
              <w:t>Hertfordshire</w:t>
            </w:r>
          </w:p>
        </w:tc>
      </w:tr>
      <w:tr w:rsidR="00844FD4" w:rsidRPr="00DE2445" w:rsidTr="00A43AA4">
        <w:tc>
          <w:tcPr>
            <w:tcW w:w="4077" w:type="dxa"/>
          </w:tcPr>
          <w:p w:rsidR="00844FD4" w:rsidRPr="00DE2445" w:rsidRDefault="00844FD4" w:rsidP="00BC7D7C">
            <w:pPr>
              <w:rPr>
                <w:rFonts w:ascii="Arial" w:eastAsia="Times New Roman" w:hAnsi="Arial" w:cs="Arial"/>
                <w:b/>
                <w:i/>
                <w:color w:val="000000"/>
              </w:rPr>
            </w:pPr>
            <w:r w:rsidRPr="00DE2445">
              <w:rPr>
                <w:rFonts w:ascii="Arial" w:eastAsia="Times New Roman" w:hAnsi="Arial" w:cs="Arial"/>
                <w:b/>
                <w:i/>
                <w:color w:val="000000"/>
              </w:rPr>
              <w:t>Underperformers</w:t>
            </w:r>
          </w:p>
          <w:p w:rsidR="00844FD4" w:rsidRPr="00DE2445" w:rsidRDefault="00844FD4" w:rsidP="00BC7D7C">
            <w:pPr>
              <w:rPr>
                <w:rFonts w:ascii="Arial" w:eastAsia="Times New Roman" w:hAnsi="Arial" w:cs="Arial"/>
                <w:color w:val="000000"/>
              </w:rPr>
            </w:pP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New Anglia</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Cumbria</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Stoke-on-Trent and St</w:t>
            </w:r>
            <w:r w:rsidR="00BC7D7C" w:rsidRPr="00DE2445">
              <w:rPr>
                <w:rFonts w:ascii="Arial" w:eastAsia="Times New Roman" w:hAnsi="Arial" w:cs="Arial"/>
                <w:color w:val="000000"/>
              </w:rPr>
              <w:t>affordshire</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Greater Lincolnshire</w:t>
            </w:r>
          </w:p>
          <w:p w:rsidR="00844FD4" w:rsidRPr="00DE2445" w:rsidRDefault="00844FD4" w:rsidP="00BC7D7C">
            <w:pPr>
              <w:rPr>
                <w:rFonts w:ascii="Arial" w:eastAsia="Times New Roman" w:hAnsi="Arial" w:cs="Arial"/>
                <w:color w:val="000000"/>
              </w:rPr>
            </w:pPr>
            <w:r w:rsidRPr="00DE2445">
              <w:rPr>
                <w:rFonts w:ascii="Arial" w:eastAsia="Times New Roman" w:hAnsi="Arial" w:cs="Arial"/>
                <w:color w:val="000000"/>
              </w:rPr>
              <w:t>Gloucestershire</w:t>
            </w:r>
          </w:p>
          <w:p w:rsidR="00844FD4" w:rsidRDefault="00844FD4" w:rsidP="00BC7D7C">
            <w:pPr>
              <w:rPr>
                <w:rFonts w:ascii="Arial" w:eastAsia="Times New Roman" w:hAnsi="Arial" w:cs="Arial"/>
                <w:color w:val="000000"/>
              </w:rPr>
            </w:pPr>
            <w:r w:rsidRPr="00DE2445">
              <w:rPr>
                <w:rFonts w:ascii="Arial" w:eastAsia="Times New Roman" w:hAnsi="Arial" w:cs="Arial"/>
                <w:color w:val="000000"/>
              </w:rPr>
              <w:t>York, North Yorkshire</w:t>
            </w:r>
          </w:p>
          <w:p w:rsidR="00A43AA4" w:rsidRDefault="00A43AA4" w:rsidP="00BC7D7C">
            <w:pPr>
              <w:rPr>
                <w:rFonts w:ascii="Arial" w:eastAsia="Times New Roman" w:hAnsi="Arial" w:cs="Arial"/>
                <w:color w:val="000000"/>
              </w:rPr>
            </w:pPr>
            <w:r w:rsidRPr="00A43AA4">
              <w:rPr>
                <w:rFonts w:ascii="Arial" w:eastAsia="Times New Roman" w:hAnsi="Arial" w:cs="Arial"/>
                <w:color w:val="000000"/>
              </w:rPr>
              <w:t>Heart of the South We</w:t>
            </w:r>
            <w:r>
              <w:rPr>
                <w:rFonts w:ascii="Arial" w:eastAsia="Times New Roman" w:hAnsi="Arial" w:cs="Arial"/>
                <w:color w:val="000000"/>
              </w:rPr>
              <w:t>st</w:t>
            </w:r>
          </w:p>
          <w:p w:rsidR="00A43AA4" w:rsidRDefault="00A43AA4" w:rsidP="00BC7D7C">
            <w:pPr>
              <w:rPr>
                <w:rFonts w:ascii="Arial" w:eastAsia="Times New Roman" w:hAnsi="Arial" w:cs="Arial"/>
                <w:color w:val="000000"/>
              </w:rPr>
            </w:pPr>
            <w:r w:rsidRPr="00A43AA4">
              <w:rPr>
                <w:rFonts w:ascii="Arial" w:eastAsia="Times New Roman" w:hAnsi="Arial" w:cs="Arial"/>
                <w:color w:val="000000"/>
              </w:rPr>
              <w:t>South East</w:t>
            </w:r>
          </w:p>
          <w:p w:rsidR="00A43AA4" w:rsidRDefault="00A43AA4" w:rsidP="00BC7D7C">
            <w:pPr>
              <w:rPr>
                <w:rFonts w:ascii="Arial" w:eastAsia="Times New Roman" w:hAnsi="Arial" w:cs="Arial"/>
                <w:color w:val="000000"/>
              </w:rPr>
            </w:pPr>
            <w:r w:rsidRPr="00A43AA4">
              <w:rPr>
                <w:rFonts w:ascii="Arial" w:eastAsia="Times New Roman" w:hAnsi="Arial" w:cs="Arial"/>
                <w:color w:val="000000"/>
              </w:rPr>
              <w:t>Greater Manchester</w:t>
            </w:r>
          </w:p>
          <w:p w:rsidR="00A43AA4" w:rsidRDefault="00A43AA4" w:rsidP="00BC7D7C">
            <w:pPr>
              <w:rPr>
                <w:rFonts w:ascii="Arial" w:eastAsia="Times New Roman" w:hAnsi="Arial" w:cs="Arial"/>
                <w:color w:val="000000"/>
              </w:rPr>
            </w:pPr>
            <w:r w:rsidRPr="00A43AA4">
              <w:rPr>
                <w:rFonts w:ascii="Arial" w:eastAsia="Times New Roman" w:hAnsi="Arial" w:cs="Arial"/>
                <w:color w:val="000000"/>
              </w:rPr>
              <w:t>Greater Birmingham an</w:t>
            </w:r>
            <w:r>
              <w:rPr>
                <w:rFonts w:ascii="Arial" w:eastAsia="Times New Roman" w:hAnsi="Arial" w:cs="Arial"/>
                <w:color w:val="000000"/>
              </w:rPr>
              <w:t>d Solihull</w:t>
            </w:r>
          </w:p>
          <w:p w:rsidR="00A43AA4" w:rsidRDefault="00A43AA4" w:rsidP="00BC7D7C">
            <w:pPr>
              <w:rPr>
                <w:rFonts w:ascii="Arial" w:eastAsia="Times New Roman" w:hAnsi="Arial" w:cs="Arial"/>
                <w:color w:val="000000"/>
              </w:rPr>
            </w:pPr>
            <w:r w:rsidRPr="00A43AA4">
              <w:rPr>
                <w:rFonts w:ascii="Arial" w:eastAsia="Times New Roman" w:hAnsi="Arial" w:cs="Arial"/>
                <w:color w:val="000000"/>
              </w:rPr>
              <w:t>Solent</w:t>
            </w:r>
          </w:p>
          <w:p w:rsidR="00A43AA4" w:rsidRDefault="00A43AA4" w:rsidP="00BC7D7C">
            <w:pPr>
              <w:rPr>
                <w:rFonts w:ascii="Arial" w:eastAsia="Times New Roman" w:hAnsi="Arial" w:cs="Arial"/>
                <w:color w:val="000000"/>
              </w:rPr>
            </w:pPr>
            <w:r w:rsidRPr="00A43AA4">
              <w:rPr>
                <w:rFonts w:ascii="Arial" w:eastAsia="Times New Roman" w:hAnsi="Arial" w:cs="Arial"/>
                <w:color w:val="000000"/>
              </w:rPr>
              <w:t>Swindon and Wiltshire</w:t>
            </w:r>
          </w:p>
          <w:p w:rsidR="00A43AA4" w:rsidRDefault="00A43AA4" w:rsidP="00BC7D7C">
            <w:pPr>
              <w:rPr>
                <w:rFonts w:ascii="Arial" w:eastAsia="Times New Roman" w:hAnsi="Arial" w:cs="Arial"/>
                <w:color w:val="000000"/>
              </w:rPr>
            </w:pPr>
          </w:p>
          <w:p w:rsidR="00A43AA4" w:rsidRPr="00DE2445" w:rsidRDefault="00A43AA4" w:rsidP="00BC7D7C">
            <w:pPr>
              <w:rPr>
                <w:rFonts w:ascii="Arial" w:eastAsia="Times New Roman" w:hAnsi="Arial" w:cs="Arial"/>
                <w:color w:val="000000"/>
              </w:rPr>
            </w:pPr>
          </w:p>
        </w:tc>
        <w:tc>
          <w:tcPr>
            <w:tcW w:w="3828" w:type="dxa"/>
          </w:tcPr>
          <w:p w:rsidR="00844FD4" w:rsidRPr="00DE2445" w:rsidRDefault="00844FD4" w:rsidP="00A43AA4">
            <w:pPr>
              <w:rPr>
                <w:rFonts w:ascii="Arial" w:eastAsia="Times New Roman" w:hAnsi="Arial" w:cs="Arial"/>
                <w:b/>
                <w:i/>
                <w:color w:val="000000"/>
              </w:rPr>
            </w:pPr>
            <w:r w:rsidRPr="00DE2445">
              <w:rPr>
                <w:rFonts w:ascii="Arial" w:eastAsia="Times New Roman" w:hAnsi="Arial" w:cs="Arial"/>
                <w:b/>
                <w:i/>
                <w:color w:val="000000"/>
              </w:rPr>
              <w:t xml:space="preserve">Gaining Ground </w:t>
            </w:r>
          </w:p>
          <w:p w:rsidR="00844FD4" w:rsidRPr="00DE2445" w:rsidRDefault="00844FD4" w:rsidP="00A43AA4">
            <w:pPr>
              <w:rPr>
                <w:rFonts w:ascii="Arial" w:eastAsia="Times New Roman" w:hAnsi="Arial" w:cs="Arial"/>
                <w:color w:val="000000"/>
              </w:rPr>
            </w:pPr>
          </w:p>
          <w:p w:rsidR="00844FD4" w:rsidRPr="00DE2445" w:rsidRDefault="00844FD4" w:rsidP="00A43AA4">
            <w:pPr>
              <w:rPr>
                <w:rFonts w:ascii="Arial" w:eastAsia="Times New Roman" w:hAnsi="Arial" w:cs="Arial"/>
                <w:color w:val="000000"/>
              </w:rPr>
            </w:pPr>
            <w:r w:rsidRPr="00DE2445">
              <w:rPr>
                <w:rFonts w:ascii="Arial" w:eastAsia="Times New Roman" w:hAnsi="Arial" w:cs="Arial"/>
                <w:color w:val="000000"/>
              </w:rPr>
              <w:t>Lancashire</w:t>
            </w:r>
          </w:p>
          <w:p w:rsidR="00844FD4" w:rsidRPr="00DE2445" w:rsidRDefault="00844FD4" w:rsidP="00A43AA4">
            <w:pPr>
              <w:rPr>
                <w:rFonts w:ascii="Arial" w:eastAsia="Times New Roman" w:hAnsi="Arial" w:cs="Arial"/>
                <w:color w:val="000000"/>
              </w:rPr>
            </w:pPr>
            <w:r w:rsidRPr="00DE2445">
              <w:rPr>
                <w:rFonts w:ascii="Arial" w:eastAsia="Times New Roman" w:hAnsi="Arial" w:cs="Arial"/>
                <w:color w:val="000000"/>
              </w:rPr>
              <w:t>Black Country</w:t>
            </w:r>
          </w:p>
          <w:p w:rsidR="00844FD4" w:rsidRPr="00DE2445" w:rsidRDefault="00844FD4" w:rsidP="00A43AA4">
            <w:pPr>
              <w:rPr>
                <w:rFonts w:ascii="Arial" w:eastAsia="Times New Roman" w:hAnsi="Arial" w:cs="Arial"/>
                <w:color w:val="000000"/>
              </w:rPr>
            </w:pPr>
            <w:r w:rsidRPr="00DE2445">
              <w:rPr>
                <w:rFonts w:ascii="Arial" w:eastAsia="Times New Roman" w:hAnsi="Arial" w:cs="Arial"/>
                <w:color w:val="000000"/>
              </w:rPr>
              <w:t>Leeds City Region</w:t>
            </w:r>
          </w:p>
          <w:p w:rsidR="00844FD4" w:rsidRPr="00DE2445" w:rsidRDefault="00844FD4" w:rsidP="00A43AA4">
            <w:pPr>
              <w:rPr>
                <w:rFonts w:ascii="Arial" w:eastAsia="Times New Roman" w:hAnsi="Arial" w:cs="Arial"/>
                <w:color w:val="000000"/>
              </w:rPr>
            </w:pPr>
            <w:r w:rsidRPr="00DE2445">
              <w:rPr>
                <w:rFonts w:ascii="Arial" w:eastAsia="Times New Roman" w:hAnsi="Arial" w:cs="Arial"/>
                <w:color w:val="000000"/>
              </w:rPr>
              <w:t>Coast to Capital</w:t>
            </w:r>
          </w:p>
          <w:p w:rsidR="00844FD4" w:rsidRPr="00DE2445" w:rsidRDefault="00844FD4" w:rsidP="00A43AA4">
            <w:pPr>
              <w:rPr>
                <w:rFonts w:ascii="Arial" w:eastAsia="Times New Roman" w:hAnsi="Arial" w:cs="Arial"/>
                <w:color w:val="000000"/>
              </w:rPr>
            </w:pPr>
            <w:r w:rsidRPr="00DE2445">
              <w:rPr>
                <w:rFonts w:ascii="Arial" w:eastAsia="Times New Roman" w:hAnsi="Arial" w:cs="Arial"/>
                <w:color w:val="000000"/>
              </w:rPr>
              <w:t>Tees Valley</w:t>
            </w:r>
          </w:p>
          <w:p w:rsidR="00844FD4" w:rsidRPr="00DE2445" w:rsidRDefault="00844FD4" w:rsidP="00A43AA4">
            <w:pPr>
              <w:rPr>
                <w:rFonts w:ascii="Arial" w:eastAsia="Times New Roman" w:hAnsi="Arial" w:cs="Arial"/>
                <w:color w:val="000000"/>
              </w:rPr>
            </w:pPr>
            <w:r w:rsidRPr="00DE2445">
              <w:rPr>
                <w:rFonts w:ascii="Arial" w:eastAsia="Times New Roman" w:hAnsi="Arial" w:cs="Arial"/>
                <w:color w:val="000000"/>
              </w:rPr>
              <w:t>The Marches</w:t>
            </w:r>
          </w:p>
          <w:p w:rsidR="00844FD4" w:rsidRPr="00DE2445" w:rsidRDefault="00844FD4" w:rsidP="00A43AA4">
            <w:pPr>
              <w:rPr>
                <w:rFonts w:ascii="Arial" w:eastAsia="Times New Roman" w:hAnsi="Arial" w:cs="Arial"/>
                <w:color w:val="000000"/>
              </w:rPr>
            </w:pPr>
          </w:p>
        </w:tc>
      </w:tr>
    </w:tbl>
    <w:p w:rsidR="00844FD4" w:rsidRPr="00DE2445" w:rsidRDefault="00844FD4" w:rsidP="00844FD4">
      <w:pPr>
        <w:spacing w:line="240" w:lineRule="auto"/>
        <w:rPr>
          <w:rFonts w:ascii="Arial" w:hAnsi="Arial" w:cs="Arial"/>
          <w:b/>
        </w:rPr>
      </w:pPr>
    </w:p>
    <w:p w:rsidR="00844FD4" w:rsidRPr="00DE2445" w:rsidRDefault="00844FD4" w:rsidP="00844FD4">
      <w:pPr>
        <w:spacing w:line="240" w:lineRule="auto"/>
        <w:jc w:val="both"/>
        <w:rPr>
          <w:rFonts w:ascii="Arial" w:eastAsia="Times New Roman" w:hAnsi="Arial" w:cs="Arial"/>
          <w:bCs/>
          <w:color w:val="000000"/>
        </w:rPr>
      </w:pPr>
      <w:r w:rsidRPr="00DE2445">
        <w:rPr>
          <w:rFonts w:ascii="Arial" w:eastAsia="Times New Roman" w:hAnsi="Arial" w:cs="Arial"/>
          <w:bCs/>
          <w:color w:val="000000"/>
        </w:rPr>
        <w:t xml:space="preserve">The proportion of firms introducing business process innovations is given in Table 2, with LEAs ranked according to the percentage of innovating firms in the 2008-10 </w:t>
      </w:r>
      <w:proofErr w:type="gramStart"/>
      <w:r w:rsidRPr="00DE2445">
        <w:rPr>
          <w:rFonts w:ascii="Arial" w:eastAsia="Times New Roman" w:hAnsi="Arial" w:cs="Arial"/>
          <w:bCs/>
          <w:color w:val="000000"/>
        </w:rPr>
        <w:t>period</w:t>
      </w:r>
      <w:proofErr w:type="gramEnd"/>
      <w:r w:rsidRPr="00DE2445">
        <w:rPr>
          <w:rFonts w:ascii="Arial" w:eastAsia="Times New Roman" w:hAnsi="Arial" w:cs="Arial"/>
          <w:bCs/>
          <w:color w:val="000000"/>
        </w:rPr>
        <w:t xml:space="preserve">. As with product/service innovation the England-wide proportion of innovating firms has fallen slightly from 16 per cent during 2002-04 to 11 per cent in 2008-10 and again significant variation is evident between the </w:t>
      </w:r>
      <w:proofErr w:type="gramStart"/>
      <w:r w:rsidRPr="00DE2445">
        <w:rPr>
          <w:rFonts w:ascii="Arial" w:eastAsia="Times New Roman" w:hAnsi="Arial" w:cs="Arial"/>
          <w:bCs/>
          <w:color w:val="000000"/>
        </w:rPr>
        <w:t>proportion</w:t>
      </w:r>
      <w:proofErr w:type="gramEnd"/>
      <w:r w:rsidRPr="00DE2445">
        <w:rPr>
          <w:rFonts w:ascii="Arial" w:eastAsia="Times New Roman" w:hAnsi="Arial" w:cs="Arial"/>
          <w:bCs/>
          <w:color w:val="000000"/>
        </w:rPr>
        <w:t xml:space="preserve"> of process innovators in different LEAs. Reassuringly there is also some consistency between those LEAs which appear most innovative in terms of product/service and those where process innovation is most common. South-East Midlands tops both tables. </w:t>
      </w:r>
    </w:p>
    <w:p w:rsidR="00844FD4" w:rsidRPr="00DE2445" w:rsidRDefault="00844FD4" w:rsidP="00BC7D7C">
      <w:pPr>
        <w:spacing w:line="240" w:lineRule="auto"/>
        <w:jc w:val="both"/>
        <w:rPr>
          <w:rFonts w:ascii="Arial" w:eastAsia="Times New Roman" w:hAnsi="Arial" w:cs="Arial"/>
          <w:b/>
          <w:bCs/>
          <w:color w:val="000000"/>
        </w:rPr>
      </w:pPr>
      <w:r w:rsidRPr="00DE2445">
        <w:rPr>
          <w:rFonts w:ascii="Arial" w:hAnsi="Arial" w:cs="Arial"/>
        </w:rPr>
        <w:t>As with product/service innovation it is possible to estimate 95 per cent confidence intervals around the LEA estimates for process innovation and these are reported in Figure 2 for the 2008-10 period</w:t>
      </w:r>
      <w:r w:rsidR="00E72E43" w:rsidRPr="00DE2445">
        <w:rPr>
          <w:rFonts w:ascii="Arial" w:hAnsi="Arial" w:cs="Arial"/>
        </w:rPr>
        <w:t xml:space="preserve"> (see also Table 2 at the end of the document)</w:t>
      </w:r>
      <w:r w:rsidRPr="00DE2445">
        <w:rPr>
          <w:rFonts w:ascii="Arial" w:hAnsi="Arial" w:cs="Arial"/>
        </w:rPr>
        <w:t xml:space="preserve">. Again these are relatively wide in most cases except where the number of observations in any LEA is large (as in the case of London). The implication is that while we cannot be confident about the measured difference in levels of process activity between South-East Midlands and, say, Oxfordshire we can be 95 per cent confident that levels of </w:t>
      </w:r>
      <w:r w:rsidRPr="00DE2445">
        <w:rPr>
          <w:rFonts w:ascii="Arial" w:hAnsi="Arial" w:cs="Arial"/>
        </w:rPr>
        <w:lastRenderedPageBreak/>
        <w:t xml:space="preserve">process innovation in the South-East Midlands are greater than those in the Heart of the South West and (most) LEALEAs to the right of this in Figure 3. </w:t>
      </w:r>
    </w:p>
    <w:p w:rsidR="00E72E43" w:rsidRPr="00DE2445" w:rsidRDefault="00E72E43" w:rsidP="00844FD4">
      <w:pPr>
        <w:spacing w:line="240" w:lineRule="auto"/>
        <w:jc w:val="center"/>
        <w:rPr>
          <w:rFonts w:ascii="Arial" w:hAnsi="Arial" w:cs="Arial"/>
          <w:b/>
        </w:rPr>
      </w:pPr>
    </w:p>
    <w:p w:rsidR="00844FD4" w:rsidRPr="00DE2445" w:rsidRDefault="00844FD4" w:rsidP="00A43AA4">
      <w:pPr>
        <w:rPr>
          <w:rFonts w:ascii="Arial" w:hAnsi="Arial" w:cs="Arial"/>
          <w:b/>
        </w:rPr>
      </w:pPr>
      <w:r w:rsidRPr="00DE2445">
        <w:rPr>
          <w:rFonts w:ascii="Arial" w:hAnsi="Arial" w:cs="Arial"/>
          <w:b/>
        </w:rPr>
        <w:t>Figure 3: Proportion of process innovators: By Local Economic Area 2008-10</w:t>
      </w:r>
    </w:p>
    <w:p w:rsidR="00844FD4" w:rsidRPr="00DE2445" w:rsidRDefault="00844FD4" w:rsidP="00844FD4">
      <w:pPr>
        <w:spacing w:line="240" w:lineRule="auto"/>
        <w:jc w:val="center"/>
        <w:rPr>
          <w:rFonts w:ascii="Arial" w:hAnsi="Arial" w:cs="Arial"/>
          <w:b/>
        </w:rPr>
      </w:pPr>
      <w:r w:rsidRPr="00DE2445">
        <w:rPr>
          <w:rFonts w:ascii="Arial" w:hAnsi="Arial" w:cs="Arial"/>
          <w:b/>
          <w:noProof/>
          <w:lang w:eastAsia="en-GB"/>
        </w:rPr>
        <w:drawing>
          <wp:inline distT="0" distB="0" distL="0" distR="0">
            <wp:extent cx="5055461" cy="330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5417" cy="3305147"/>
                    </a:xfrm>
                    <a:prstGeom prst="rect">
                      <a:avLst/>
                    </a:prstGeom>
                    <a:noFill/>
                  </pic:spPr>
                </pic:pic>
              </a:graphicData>
            </a:graphic>
          </wp:inline>
        </w:drawing>
      </w:r>
    </w:p>
    <w:p w:rsidR="00844FD4" w:rsidRPr="00DE2445" w:rsidRDefault="00844FD4" w:rsidP="00844FD4">
      <w:pPr>
        <w:spacing w:line="240" w:lineRule="auto"/>
        <w:jc w:val="both"/>
        <w:rPr>
          <w:rFonts w:ascii="Arial" w:hAnsi="Arial" w:cs="Arial"/>
          <w:b/>
        </w:rPr>
      </w:pPr>
      <w:r w:rsidRPr="00DE2445">
        <w:rPr>
          <w:rFonts w:ascii="Arial" w:hAnsi="Arial" w:cs="Arial"/>
          <w:b/>
        </w:rPr>
        <w:t xml:space="preserve">Notes: </w:t>
      </w:r>
      <w:r w:rsidRPr="00DE2445">
        <w:rPr>
          <w:rFonts w:ascii="Arial" w:hAnsi="Arial" w:cs="Arial"/>
        </w:rPr>
        <w:t xml:space="preserve">Responses are weighted. Point estimates and standard deviations depicted. No information is available for Cumbria and York/North </w:t>
      </w:r>
      <w:proofErr w:type="spellStart"/>
      <w:r w:rsidRPr="00DE2445">
        <w:rPr>
          <w:rFonts w:ascii="Arial" w:hAnsi="Arial" w:cs="Arial"/>
        </w:rPr>
        <w:t>Yorks</w:t>
      </w:r>
      <w:proofErr w:type="spellEnd"/>
      <w:r w:rsidRPr="00DE2445">
        <w:rPr>
          <w:rFonts w:ascii="Arial" w:hAnsi="Arial" w:cs="Arial"/>
        </w:rPr>
        <w:t xml:space="preserve"> due to small samples.</w:t>
      </w:r>
      <w:r w:rsidRPr="00DE2445">
        <w:rPr>
          <w:rFonts w:ascii="Arial" w:hAnsi="Arial" w:cs="Arial"/>
          <w:b/>
        </w:rPr>
        <w:t xml:space="preserve"> </w:t>
      </w:r>
    </w:p>
    <w:p w:rsidR="00844FD4" w:rsidRPr="00DE2445" w:rsidRDefault="00844FD4" w:rsidP="00E72E43">
      <w:pPr>
        <w:spacing w:line="240" w:lineRule="auto"/>
        <w:jc w:val="both"/>
        <w:rPr>
          <w:rFonts w:ascii="Arial" w:hAnsi="Arial" w:cs="Arial"/>
        </w:rPr>
      </w:pPr>
      <w:r w:rsidRPr="00DE2445">
        <w:rPr>
          <w:rFonts w:ascii="Arial" w:hAnsi="Arial" w:cs="Arial"/>
        </w:rPr>
        <w:t>Organisational innovations prove more common across England than either product or process change with 29 per cent of firms making organisational innovations, 26 per cent of firms reporting that they undertook either organisational or marketing changes, and 13 per cent of firms adopting strategic innovations over the 2008-10 period.  Again we observe significant variation in innovation activity across LEAs with some smaller LEAs (for which we have incomplete information) appearing – on average - the most innovative (</w:t>
      </w:r>
      <w:r w:rsidR="00E72E43" w:rsidRPr="00DE2445">
        <w:rPr>
          <w:rFonts w:ascii="Arial" w:hAnsi="Arial" w:cs="Arial"/>
        </w:rPr>
        <w:t xml:space="preserve">see </w:t>
      </w:r>
      <w:r w:rsidRPr="00DE2445">
        <w:rPr>
          <w:rFonts w:ascii="Arial" w:hAnsi="Arial" w:cs="Arial"/>
        </w:rPr>
        <w:t xml:space="preserve">Table 3). South-East Midlands again is the most innovative of those LEAs for which we have complete information. </w:t>
      </w:r>
    </w:p>
    <w:p w:rsidR="00E72E43" w:rsidRPr="00DE2445" w:rsidRDefault="00E72E43" w:rsidP="00E72E43">
      <w:pPr>
        <w:spacing w:line="240" w:lineRule="auto"/>
        <w:jc w:val="both"/>
        <w:rPr>
          <w:rFonts w:ascii="Arial" w:hAnsi="Arial" w:cs="Arial"/>
          <w:b/>
        </w:rPr>
      </w:pPr>
    </w:p>
    <w:p w:rsidR="00844FD4" w:rsidRPr="00DE2445" w:rsidRDefault="00844FD4" w:rsidP="00844FD4">
      <w:pPr>
        <w:pStyle w:val="ListParagraph"/>
        <w:numPr>
          <w:ilvl w:val="0"/>
          <w:numId w:val="3"/>
        </w:numPr>
        <w:spacing w:line="240" w:lineRule="auto"/>
        <w:rPr>
          <w:rFonts w:ascii="Arial" w:hAnsi="Arial" w:cs="Arial"/>
          <w:b/>
        </w:rPr>
      </w:pPr>
      <w:r w:rsidRPr="00DE2445">
        <w:rPr>
          <w:rFonts w:ascii="Arial" w:hAnsi="Arial" w:cs="Arial"/>
          <w:b/>
        </w:rPr>
        <w:t>Barriers to innovation</w:t>
      </w:r>
    </w:p>
    <w:p w:rsidR="00844FD4" w:rsidRPr="00DE2445" w:rsidRDefault="00844FD4" w:rsidP="00844FD4">
      <w:pPr>
        <w:spacing w:line="240" w:lineRule="auto"/>
        <w:jc w:val="both"/>
        <w:rPr>
          <w:rFonts w:ascii="Arial" w:hAnsi="Arial" w:cs="Arial"/>
        </w:rPr>
      </w:pPr>
      <w:r w:rsidRPr="00DE2445">
        <w:rPr>
          <w:rFonts w:ascii="Arial" w:hAnsi="Arial" w:cs="Arial"/>
        </w:rPr>
        <w:t>The UK Innovation Survey identifies ten barriers which firms may face in undertaking innovation, with no distinction being made between barriers to process or product/service change. Overall, the most commonly perceived barrier was the risk of innov</w:t>
      </w:r>
      <w:r w:rsidR="00E72E43" w:rsidRPr="00DE2445">
        <w:rPr>
          <w:rFonts w:ascii="Arial" w:hAnsi="Arial" w:cs="Arial"/>
        </w:rPr>
        <w:t xml:space="preserve">ation, followed by a series of </w:t>
      </w:r>
      <w:r w:rsidRPr="00DE2445">
        <w:rPr>
          <w:rFonts w:ascii="Arial" w:hAnsi="Arial" w:cs="Arial"/>
        </w:rPr>
        <w:t xml:space="preserve">issues closely related to finance and skills. </w:t>
      </w:r>
      <w:r w:rsidR="00271ECC">
        <w:rPr>
          <w:rFonts w:ascii="Arial" w:hAnsi="Arial" w:cs="Arial"/>
        </w:rPr>
        <w:t>Lack of information</w:t>
      </w:r>
      <w:r w:rsidRPr="00DE2445">
        <w:rPr>
          <w:rFonts w:ascii="Arial" w:hAnsi="Arial" w:cs="Arial"/>
        </w:rPr>
        <w:t xml:space="preserve"> and regulatory barriers are generally l</w:t>
      </w:r>
      <w:r w:rsidR="00E72E43" w:rsidRPr="00DE2445">
        <w:rPr>
          <w:rFonts w:ascii="Arial" w:hAnsi="Arial" w:cs="Arial"/>
        </w:rPr>
        <w:t>ess common (Figure</w:t>
      </w:r>
      <w:r w:rsidRPr="00DE2445">
        <w:rPr>
          <w:rFonts w:ascii="Arial" w:hAnsi="Arial" w:cs="Arial"/>
        </w:rPr>
        <w:t xml:space="preserve"> 4). </w:t>
      </w:r>
    </w:p>
    <w:p w:rsidR="00E72E43" w:rsidRPr="00DE2445" w:rsidRDefault="00E72E43">
      <w:pPr>
        <w:rPr>
          <w:rFonts w:ascii="Arial" w:hAnsi="Arial" w:cs="Arial"/>
          <w:b/>
        </w:rPr>
      </w:pPr>
      <w:r w:rsidRPr="00DE2445">
        <w:rPr>
          <w:rFonts w:ascii="Arial" w:hAnsi="Arial" w:cs="Arial"/>
          <w:b/>
        </w:rPr>
        <w:br w:type="page"/>
      </w:r>
    </w:p>
    <w:p w:rsidR="00844FD4" w:rsidRPr="00DE2445" w:rsidRDefault="00E72E43" w:rsidP="00844FD4">
      <w:pPr>
        <w:spacing w:line="240" w:lineRule="auto"/>
        <w:jc w:val="center"/>
        <w:rPr>
          <w:rFonts w:ascii="Arial" w:hAnsi="Arial" w:cs="Arial"/>
          <w:b/>
        </w:rPr>
      </w:pPr>
      <w:r w:rsidRPr="00DE2445">
        <w:rPr>
          <w:rFonts w:ascii="Arial" w:hAnsi="Arial" w:cs="Arial"/>
          <w:b/>
        </w:rPr>
        <w:lastRenderedPageBreak/>
        <w:t xml:space="preserve">Figure </w:t>
      </w:r>
      <w:r w:rsidR="00844FD4" w:rsidRPr="00DE2445">
        <w:rPr>
          <w:rFonts w:ascii="Arial" w:hAnsi="Arial" w:cs="Arial"/>
          <w:b/>
        </w:rPr>
        <w:t>4: Barriers to innovation in England: 2008-10</w:t>
      </w:r>
    </w:p>
    <w:tbl>
      <w:tblPr>
        <w:tblW w:w="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2127"/>
      </w:tblGrid>
      <w:tr w:rsidR="00844FD4" w:rsidRPr="00DE2445" w:rsidTr="00E72E43">
        <w:trPr>
          <w:trHeight w:val="227"/>
          <w:jc w:val="center"/>
        </w:trPr>
        <w:tc>
          <w:tcPr>
            <w:tcW w:w="3984" w:type="dxa"/>
            <w:shd w:val="clear" w:color="auto" w:fill="auto"/>
            <w:noWrap/>
            <w:vAlign w:val="center"/>
          </w:tcPr>
          <w:p w:rsidR="00844FD4" w:rsidRPr="00DE2445" w:rsidRDefault="00844FD4" w:rsidP="00BC7D7C">
            <w:pPr>
              <w:spacing w:after="0" w:line="240" w:lineRule="auto"/>
              <w:rPr>
                <w:rFonts w:ascii="Arial" w:eastAsia="Times New Roman" w:hAnsi="Arial" w:cs="Arial"/>
                <w:color w:val="000000"/>
              </w:rPr>
            </w:pPr>
          </w:p>
        </w:tc>
        <w:tc>
          <w:tcPr>
            <w:tcW w:w="2127" w:type="dxa"/>
            <w:vAlign w:val="center"/>
          </w:tcPr>
          <w:p w:rsidR="00844FD4" w:rsidRPr="00DE2445" w:rsidRDefault="00844FD4" w:rsidP="00BC7D7C">
            <w:pPr>
              <w:jc w:val="center"/>
              <w:rPr>
                <w:rFonts w:ascii="Arial" w:hAnsi="Arial" w:cs="Arial"/>
                <w:color w:val="000000"/>
              </w:rPr>
            </w:pPr>
            <w:r w:rsidRPr="00DE2445">
              <w:rPr>
                <w:rFonts w:ascii="Arial" w:hAnsi="Arial" w:cs="Arial"/>
                <w:color w:val="000000"/>
              </w:rPr>
              <w:t>% firms</w:t>
            </w:r>
          </w:p>
        </w:tc>
      </w:tr>
      <w:tr w:rsidR="00844FD4" w:rsidRPr="00DE2445" w:rsidTr="00E72E43">
        <w:trPr>
          <w:trHeight w:val="227"/>
          <w:jc w:val="center"/>
        </w:trPr>
        <w:tc>
          <w:tcPr>
            <w:tcW w:w="3984" w:type="dxa"/>
            <w:shd w:val="clear" w:color="auto" w:fill="auto"/>
            <w:noWrap/>
            <w:vAlign w:val="center"/>
            <w:hideMark/>
          </w:tcPr>
          <w:p w:rsidR="00844FD4" w:rsidRPr="00DE2445" w:rsidRDefault="00844FD4" w:rsidP="00BC7D7C">
            <w:pPr>
              <w:spacing w:after="0" w:line="240" w:lineRule="auto"/>
              <w:rPr>
                <w:rFonts w:ascii="Arial" w:eastAsia="Times New Roman" w:hAnsi="Arial" w:cs="Arial"/>
                <w:color w:val="000000"/>
              </w:rPr>
            </w:pPr>
            <w:r w:rsidRPr="00DE2445">
              <w:rPr>
                <w:rFonts w:ascii="Arial" w:eastAsia="Times New Roman" w:hAnsi="Arial" w:cs="Arial"/>
                <w:color w:val="000000"/>
              </w:rPr>
              <w:t>Excessive perceived economic risks</w:t>
            </w:r>
          </w:p>
        </w:tc>
        <w:tc>
          <w:tcPr>
            <w:tcW w:w="2127" w:type="dxa"/>
            <w:vAlign w:val="center"/>
          </w:tcPr>
          <w:p w:rsidR="00844FD4" w:rsidRPr="00DE2445" w:rsidRDefault="00271ECC" w:rsidP="00BC7D7C">
            <w:pPr>
              <w:jc w:val="center"/>
              <w:rPr>
                <w:rFonts w:ascii="Arial" w:hAnsi="Arial" w:cs="Arial"/>
                <w:color w:val="000000"/>
              </w:rPr>
            </w:pPr>
            <w:r>
              <w:rPr>
                <w:rFonts w:ascii="Arial" w:hAnsi="Arial" w:cs="Arial"/>
                <w:color w:val="000000"/>
              </w:rPr>
              <w:t>40</w:t>
            </w:r>
          </w:p>
        </w:tc>
      </w:tr>
      <w:tr w:rsidR="00844FD4" w:rsidRPr="00DE2445" w:rsidTr="00E72E43">
        <w:trPr>
          <w:trHeight w:val="227"/>
          <w:jc w:val="center"/>
        </w:trPr>
        <w:tc>
          <w:tcPr>
            <w:tcW w:w="3984" w:type="dxa"/>
            <w:shd w:val="clear" w:color="auto" w:fill="auto"/>
            <w:noWrap/>
            <w:vAlign w:val="center"/>
            <w:hideMark/>
          </w:tcPr>
          <w:p w:rsidR="00844FD4" w:rsidRPr="00DE2445" w:rsidRDefault="00844FD4" w:rsidP="00BC7D7C">
            <w:pPr>
              <w:spacing w:after="0" w:line="240" w:lineRule="auto"/>
              <w:rPr>
                <w:rFonts w:ascii="Arial" w:eastAsia="Times New Roman" w:hAnsi="Arial" w:cs="Arial"/>
                <w:color w:val="000000"/>
              </w:rPr>
            </w:pPr>
            <w:r w:rsidRPr="00DE2445">
              <w:rPr>
                <w:rFonts w:ascii="Arial" w:eastAsia="Times New Roman" w:hAnsi="Arial" w:cs="Arial"/>
                <w:color w:val="000000"/>
              </w:rPr>
              <w:t>Direct innovation costs too high</w:t>
            </w:r>
          </w:p>
        </w:tc>
        <w:tc>
          <w:tcPr>
            <w:tcW w:w="2127" w:type="dxa"/>
            <w:vAlign w:val="center"/>
          </w:tcPr>
          <w:p w:rsidR="00844FD4" w:rsidRPr="00DE2445" w:rsidRDefault="00271ECC" w:rsidP="00BC7D7C">
            <w:pPr>
              <w:jc w:val="center"/>
              <w:rPr>
                <w:rFonts w:ascii="Arial" w:hAnsi="Arial" w:cs="Arial"/>
                <w:color w:val="000000"/>
              </w:rPr>
            </w:pPr>
            <w:r>
              <w:rPr>
                <w:rFonts w:ascii="Arial" w:hAnsi="Arial" w:cs="Arial"/>
                <w:color w:val="000000"/>
              </w:rPr>
              <w:t>39</w:t>
            </w:r>
          </w:p>
        </w:tc>
      </w:tr>
      <w:tr w:rsidR="00844FD4" w:rsidRPr="00DE2445" w:rsidTr="00E72E43">
        <w:trPr>
          <w:trHeight w:val="227"/>
          <w:jc w:val="center"/>
        </w:trPr>
        <w:tc>
          <w:tcPr>
            <w:tcW w:w="3984" w:type="dxa"/>
            <w:shd w:val="clear" w:color="auto" w:fill="auto"/>
            <w:noWrap/>
            <w:vAlign w:val="center"/>
            <w:hideMark/>
          </w:tcPr>
          <w:p w:rsidR="00844FD4" w:rsidRPr="00DE2445" w:rsidRDefault="00844FD4" w:rsidP="00BC7D7C">
            <w:pPr>
              <w:spacing w:after="0" w:line="240" w:lineRule="auto"/>
              <w:rPr>
                <w:rFonts w:ascii="Arial" w:eastAsia="Times New Roman" w:hAnsi="Arial" w:cs="Arial"/>
                <w:color w:val="000000"/>
              </w:rPr>
            </w:pPr>
            <w:r w:rsidRPr="00DE2445">
              <w:rPr>
                <w:rFonts w:ascii="Arial" w:eastAsia="Times New Roman" w:hAnsi="Arial" w:cs="Arial"/>
                <w:color w:val="000000"/>
              </w:rPr>
              <w:t>Cost of finance</w:t>
            </w:r>
          </w:p>
        </w:tc>
        <w:tc>
          <w:tcPr>
            <w:tcW w:w="2127" w:type="dxa"/>
            <w:vAlign w:val="center"/>
          </w:tcPr>
          <w:p w:rsidR="00271ECC" w:rsidRPr="00DE2445" w:rsidRDefault="00271ECC" w:rsidP="00271ECC">
            <w:pPr>
              <w:jc w:val="center"/>
              <w:rPr>
                <w:rFonts w:ascii="Arial" w:hAnsi="Arial" w:cs="Arial"/>
                <w:color w:val="000000"/>
              </w:rPr>
            </w:pPr>
            <w:r>
              <w:rPr>
                <w:rFonts w:ascii="Arial" w:hAnsi="Arial" w:cs="Arial"/>
                <w:color w:val="000000"/>
              </w:rPr>
              <w:t>37</w:t>
            </w:r>
          </w:p>
        </w:tc>
      </w:tr>
      <w:tr w:rsidR="00844FD4" w:rsidRPr="00DE2445" w:rsidTr="00E72E43">
        <w:trPr>
          <w:trHeight w:val="227"/>
          <w:jc w:val="center"/>
        </w:trPr>
        <w:tc>
          <w:tcPr>
            <w:tcW w:w="3984" w:type="dxa"/>
            <w:shd w:val="clear" w:color="auto" w:fill="auto"/>
            <w:noWrap/>
            <w:vAlign w:val="center"/>
            <w:hideMark/>
          </w:tcPr>
          <w:p w:rsidR="00844FD4" w:rsidRPr="00DE2445" w:rsidRDefault="00844FD4" w:rsidP="00BC7D7C">
            <w:pPr>
              <w:spacing w:after="0" w:line="240" w:lineRule="auto"/>
              <w:rPr>
                <w:rFonts w:ascii="Arial" w:eastAsia="Times New Roman" w:hAnsi="Arial" w:cs="Arial"/>
                <w:color w:val="000000"/>
              </w:rPr>
            </w:pPr>
            <w:r w:rsidRPr="00DE2445">
              <w:rPr>
                <w:rFonts w:ascii="Arial" w:eastAsia="Times New Roman" w:hAnsi="Arial" w:cs="Arial"/>
                <w:color w:val="000000"/>
              </w:rPr>
              <w:t>Availability of finance</w:t>
            </w:r>
          </w:p>
        </w:tc>
        <w:tc>
          <w:tcPr>
            <w:tcW w:w="2127" w:type="dxa"/>
            <w:vAlign w:val="center"/>
          </w:tcPr>
          <w:p w:rsidR="00844FD4" w:rsidRPr="00DE2445" w:rsidRDefault="00271ECC" w:rsidP="00BC7D7C">
            <w:pPr>
              <w:jc w:val="center"/>
              <w:rPr>
                <w:rFonts w:ascii="Arial" w:hAnsi="Arial" w:cs="Arial"/>
                <w:color w:val="000000"/>
              </w:rPr>
            </w:pPr>
            <w:r>
              <w:rPr>
                <w:rFonts w:ascii="Arial" w:hAnsi="Arial" w:cs="Arial"/>
                <w:color w:val="000000"/>
              </w:rPr>
              <w:t>35</w:t>
            </w:r>
          </w:p>
        </w:tc>
      </w:tr>
      <w:tr w:rsidR="00BA5D5D" w:rsidRPr="00DE2445" w:rsidTr="00E72E43">
        <w:trPr>
          <w:trHeight w:val="227"/>
          <w:jc w:val="center"/>
        </w:trPr>
        <w:tc>
          <w:tcPr>
            <w:tcW w:w="3984" w:type="dxa"/>
            <w:shd w:val="clear" w:color="auto" w:fill="auto"/>
            <w:noWrap/>
            <w:vAlign w:val="center"/>
          </w:tcPr>
          <w:p w:rsidR="00BA5D5D" w:rsidRPr="00DE2445" w:rsidRDefault="00BA5D5D" w:rsidP="003C07E3">
            <w:pPr>
              <w:spacing w:after="0" w:line="240" w:lineRule="auto"/>
              <w:rPr>
                <w:rFonts w:ascii="Arial" w:eastAsia="Times New Roman" w:hAnsi="Arial" w:cs="Arial"/>
                <w:color w:val="000000"/>
              </w:rPr>
            </w:pPr>
            <w:r w:rsidRPr="00DE2445">
              <w:rPr>
                <w:rFonts w:ascii="Arial" w:eastAsia="Times New Roman" w:hAnsi="Arial" w:cs="Arial"/>
                <w:color w:val="000000"/>
              </w:rPr>
              <w:t>Uncertain demand for innovative goods and services</w:t>
            </w:r>
          </w:p>
        </w:tc>
        <w:tc>
          <w:tcPr>
            <w:tcW w:w="2127" w:type="dxa"/>
            <w:vAlign w:val="center"/>
          </w:tcPr>
          <w:p w:rsidR="00BA5D5D" w:rsidRPr="00DE2445" w:rsidRDefault="00BA5D5D" w:rsidP="003C07E3">
            <w:pPr>
              <w:jc w:val="center"/>
              <w:rPr>
                <w:rFonts w:ascii="Arial" w:hAnsi="Arial" w:cs="Arial"/>
                <w:color w:val="000000"/>
              </w:rPr>
            </w:pPr>
            <w:r>
              <w:rPr>
                <w:rFonts w:ascii="Arial" w:hAnsi="Arial" w:cs="Arial"/>
                <w:color w:val="000000"/>
              </w:rPr>
              <w:t>29</w:t>
            </w:r>
          </w:p>
        </w:tc>
      </w:tr>
      <w:tr w:rsidR="00BA5D5D" w:rsidRPr="00DE2445" w:rsidTr="00E72E43">
        <w:trPr>
          <w:trHeight w:val="227"/>
          <w:jc w:val="center"/>
        </w:trPr>
        <w:tc>
          <w:tcPr>
            <w:tcW w:w="3984" w:type="dxa"/>
            <w:shd w:val="clear" w:color="auto" w:fill="auto"/>
            <w:noWrap/>
            <w:vAlign w:val="center"/>
          </w:tcPr>
          <w:p w:rsidR="00BA5D5D" w:rsidRPr="00DE2445" w:rsidRDefault="00BA5D5D" w:rsidP="003C07E3">
            <w:pPr>
              <w:spacing w:after="0" w:line="240" w:lineRule="auto"/>
              <w:rPr>
                <w:rFonts w:ascii="Arial" w:eastAsia="Times New Roman" w:hAnsi="Arial" w:cs="Arial"/>
                <w:color w:val="000000"/>
              </w:rPr>
            </w:pPr>
            <w:r w:rsidRPr="00DE2445">
              <w:rPr>
                <w:rFonts w:ascii="Arial" w:eastAsia="Times New Roman" w:hAnsi="Arial" w:cs="Arial"/>
                <w:color w:val="000000"/>
              </w:rPr>
              <w:t>Market dominated by established businesses</w:t>
            </w:r>
          </w:p>
        </w:tc>
        <w:tc>
          <w:tcPr>
            <w:tcW w:w="2127" w:type="dxa"/>
            <w:vAlign w:val="center"/>
          </w:tcPr>
          <w:p w:rsidR="00BA5D5D" w:rsidRPr="00DE2445" w:rsidRDefault="00BA5D5D" w:rsidP="003C07E3">
            <w:pPr>
              <w:jc w:val="center"/>
              <w:rPr>
                <w:rFonts w:ascii="Arial" w:hAnsi="Arial" w:cs="Arial"/>
                <w:color w:val="000000"/>
              </w:rPr>
            </w:pPr>
            <w:r>
              <w:rPr>
                <w:rFonts w:ascii="Arial" w:hAnsi="Arial" w:cs="Arial"/>
                <w:color w:val="000000"/>
              </w:rPr>
              <w:t>26</w:t>
            </w:r>
          </w:p>
        </w:tc>
      </w:tr>
      <w:tr w:rsidR="00BA5D5D" w:rsidRPr="00DE2445" w:rsidTr="00E72E43">
        <w:trPr>
          <w:trHeight w:val="227"/>
          <w:jc w:val="center"/>
        </w:trPr>
        <w:tc>
          <w:tcPr>
            <w:tcW w:w="3984" w:type="dxa"/>
            <w:shd w:val="clear" w:color="auto" w:fill="auto"/>
            <w:noWrap/>
            <w:vAlign w:val="center"/>
            <w:hideMark/>
          </w:tcPr>
          <w:p w:rsidR="00BA5D5D" w:rsidRPr="00DE2445" w:rsidRDefault="00BA5D5D" w:rsidP="00BC7D7C">
            <w:pPr>
              <w:spacing w:after="0" w:line="240" w:lineRule="auto"/>
              <w:rPr>
                <w:rFonts w:ascii="Arial" w:eastAsia="Times New Roman" w:hAnsi="Arial" w:cs="Arial"/>
                <w:color w:val="000000"/>
              </w:rPr>
            </w:pPr>
            <w:r w:rsidRPr="00DE2445">
              <w:rPr>
                <w:rFonts w:ascii="Arial" w:eastAsia="Times New Roman" w:hAnsi="Arial" w:cs="Arial"/>
                <w:color w:val="000000"/>
              </w:rPr>
              <w:t>Lack of qualified personnel</w:t>
            </w:r>
          </w:p>
        </w:tc>
        <w:tc>
          <w:tcPr>
            <w:tcW w:w="2127" w:type="dxa"/>
            <w:vAlign w:val="center"/>
          </w:tcPr>
          <w:p w:rsidR="00BA5D5D" w:rsidRPr="00DE2445" w:rsidRDefault="00BA5D5D" w:rsidP="00BC7D7C">
            <w:pPr>
              <w:jc w:val="center"/>
              <w:rPr>
                <w:rFonts w:ascii="Arial" w:hAnsi="Arial" w:cs="Arial"/>
                <w:color w:val="000000"/>
              </w:rPr>
            </w:pPr>
            <w:r>
              <w:rPr>
                <w:rFonts w:ascii="Arial" w:hAnsi="Arial" w:cs="Arial"/>
                <w:color w:val="000000"/>
              </w:rPr>
              <w:t>24</w:t>
            </w:r>
          </w:p>
        </w:tc>
      </w:tr>
      <w:tr w:rsidR="00BA5D5D" w:rsidRPr="00DE2445" w:rsidTr="00E72E43">
        <w:trPr>
          <w:trHeight w:val="227"/>
          <w:jc w:val="center"/>
        </w:trPr>
        <w:tc>
          <w:tcPr>
            <w:tcW w:w="3984" w:type="dxa"/>
            <w:shd w:val="clear" w:color="auto" w:fill="auto"/>
            <w:noWrap/>
            <w:vAlign w:val="center"/>
          </w:tcPr>
          <w:p w:rsidR="00BA5D5D" w:rsidRPr="00DE2445" w:rsidRDefault="00BA5D5D" w:rsidP="003C07E3">
            <w:pPr>
              <w:spacing w:after="0" w:line="240" w:lineRule="auto"/>
              <w:rPr>
                <w:rFonts w:ascii="Arial" w:eastAsia="Times New Roman" w:hAnsi="Arial" w:cs="Arial"/>
                <w:color w:val="000000"/>
              </w:rPr>
            </w:pPr>
            <w:r w:rsidRPr="00DE2445">
              <w:rPr>
                <w:rFonts w:ascii="Arial" w:eastAsia="Times New Roman" w:hAnsi="Arial" w:cs="Arial"/>
                <w:color w:val="000000"/>
              </w:rPr>
              <w:t>UK government and EU regulations (including standards)</w:t>
            </w:r>
          </w:p>
        </w:tc>
        <w:tc>
          <w:tcPr>
            <w:tcW w:w="2127" w:type="dxa"/>
            <w:vAlign w:val="center"/>
          </w:tcPr>
          <w:p w:rsidR="00BA5D5D" w:rsidRPr="00DE2445" w:rsidRDefault="00BA5D5D" w:rsidP="003C07E3">
            <w:pPr>
              <w:jc w:val="center"/>
              <w:rPr>
                <w:rFonts w:ascii="Arial" w:hAnsi="Arial" w:cs="Arial"/>
                <w:color w:val="000000"/>
              </w:rPr>
            </w:pPr>
            <w:r>
              <w:rPr>
                <w:rFonts w:ascii="Arial" w:hAnsi="Arial" w:cs="Arial"/>
                <w:color w:val="000000"/>
              </w:rPr>
              <w:t>19</w:t>
            </w:r>
          </w:p>
        </w:tc>
      </w:tr>
      <w:tr w:rsidR="00BA5D5D" w:rsidRPr="00DE2445" w:rsidTr="00E72E43">
        <w:trPr>
          <w:trHeight w:val="227"/>
          <w:jc w:val="center"/>
        </w:trPr>
        <w:tc>
          <w:tcPr>
            <w:tcW w:w="3984" w:type="dxa"/>
            <w:shd w:val="clear" w:color="auto" w:fill="auto"/>
            <w:noWrap/>
            <w:vAlign w:val="center"/>
            <w:hideMark/>
          </w:tcPr>
          <w:p w:rsidR="00BA5D5D" w:rsidRPr="00DE2445" w:rsidRDefault="00BA5D5D" w:rsidP="00BC7D7C">
            <w:pPr>
              <w:spacing w:after="0" w:line="240" w:lineRule="auto"/>
              <w:rPr>
                <w:rFonts w:ascii="Arial" w:eastAsia="Times New Roman" w:hAnsi="Arial" w:cs="Arial"/>
                <w:color w:val="000000"/>
              </w:rPr>
            </w:pPr>
            <w:r w:rsidRPr="00DE2445">
              <w:rPr>
                <w:rFonts w:ascii="Arial" w:eastAsia="Times New Roman" w:hAnsi="Arial" w:cs="Arial"/>
                <w:color w:val="000000"/>
              </w:rPr>
              <w:t>Lack of information on markets</w:t>
            </w:r>
          </w:p>
        </w:tc>
        <w:tc>
          <w:tcPr>
            <w:tcW w:w="2127" w:type="dxa"/>
            <w:vAlign w:val="center"/>
          </w:tcPr>
          <w:p w:rsidR="00BA5D5D" w:rsidRPr="00DE2445" w:rsidRDefault="00BA5D5D" w:rsidP="00BC7D7C">
            <w:pPr>
              <w:jc w:val="center"/>
              <w:rPr>
                <w:rFonts w:ascii="Arial" w:hAnsi="Arial" w:cs="Arial"/>
                <w:color w:val="000000"/>
              </w:rPr>
            </w:pPr>
            <w:r>
              <w:rPr>
                <w:rFonts w:ascii="Arial" w:hAnsi="Arial" w:cs="Arial"/>
                <w:color w:val="000000"/>
              </w:rPr>
              <w:t>14</w:t>
            </w:r>
          </w:p>
        </w:tc>
      </w:tr>
      <w:tr w:rsidR="00BA5D5D" w:rsidRPr="00DE2445" w:rsidTr="00BA5D5D">
        <w:trPr>
          <w:trHeight w:val="227"/>
          <w:jc w:val="center"/>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5D5D" w:rsidRPr="00DE2445" w:rsidRDefault="00BA5D5D" w:rsidP="003C07E3">
            <w:pPr>
              <w:spacing w:after="0" w:line="240" w:lineRule="auto"/>
              <w:rPr>
                <w:rFonts w:ascii="Arial" w:eastAsia="Times New Roman" w:hAnsi="Arial" w:cs="Arial"/>
                <w:color w:val="000000"/>
              </w:rPr>
            </w:pPr>
            <w:r w:rsidRPr="00DE2445">
              <w:rPr>
                <w:rFonts w:ascii="Arial" w:eastAsia="Times New Roman" w:hAnsi="Arial" w:cs="Arial"/>
                <w:color w:val="000000"/>
              </w:rPr>
              <w:t>Lack of information on technology</w:t>
            </w:r>
          </w:p>
        </w:tc>
        <w:tc>
          <w:tcPr>
            <w:tcW w:w="2127" w:type="dxa"/>
            <w:tcBorders>
              <w:top w:val="single" w:sz="4" w:space="0" w:color="auto"/>
              <w:left w:val="single" w:sz="4" w:space="0" w:color="auto"/>
              <w:bottom w:val="single" w:sz="4" w:space="0" w:color="auto"/>
              <w:right w:val="single" w:sz="4" w:space="0" w:color="auto"/>
            </w:tcBorders>
            <w:vAlign w:val="center"/>
          </w:tcPr>
          <w:p w:rsidR="00BA5D5D" w:rsidRPr="00DE2445" w:rsidRDefault="00BA5D5D" w:rsidP="003C07E3">
            <w:pPr>
              <w:jc w:val="center"/>
              <w:rPr>
                <w:rFonts w:ascii="Arial" w:hAnsi="Arial" w:cs="Arial"/>
                <w:color w:val="000000"/>
              </w:rPr>
            </w:pPr>
            <w:r>
              <w:rPr>
                <w:rFonts w:ascii="Arial" w:hAnsi="Arial" w:cs="Arial"/>
                <w:color w:val="000000"/>
              </w:rPr>
              <w:t>13</w:t>
            </w:r>
          </w:p>
        </w:tc>
      </w:tr>
    </w:tbl>
    <w:p w:rsidR="00844FD4" w:rsidRPr="00DE2445" w:rsidRDefault="00844FD4" w:rsidP="00844FD4">
      <w:pPr>
        <w:spacing w:line="240" w:lineRule="auto"/>
        <w:rPr>
          <w:rFonts w:ascii="Arial" w:hAnsi="Arial" w:cs="Arial"/>
          <w:b/>
        </w:rPr>
      </w:pPr>
    </w:p>
    <w:p w:rsidR="00844FD4" w:rsidRPr="00DE2445" w:rsidRDefault="00844FD4" w:rsidP="00844FD4">
      <w:pPr>
        <w:spacing w:line="240" w:lineRule="auto"/>
        <w:jc w:val="both"/>
        <w:rPr>
          <w:rFonts w:ascii="Arial" w:hAnsi="Arial" w:cs="Arial"/>
        </w:rPr>
      </w:pPr>
      <w:r w:rsidRPr="00DE2445">
        <w:rPr>
          <w:rFonts w:ascii="Arial" w:hAnsi="Arial" w:cs="Arial"/>
        </w:rPr>
        <w:t xml:space="preserve">Figures </w:t>
      </w:r>
      <w:r w:rsidR="00271ECC">
        <w:rPr>
          <w:rFonts w:ascii="Arial" w:hAnsi="Arial" w:cs="Arial"/>
        </w:rPr>
        <w:t>5</w:t>
      </w:r>
      <w:r w:rsidRPr="00DE2445">
        <w:rPr>
          <w:rFonts w:ascii="Arial" w:hAnsi="Arial" w:cs="Arial"/>
        </w:rPr>
        <w:t xml:space="preserve">, </w:t>
      </w:r>
      <w:r w:rsidR="00271ECC">
        <w:rPr>
          <w:rFonts w:ascii="Arial" w:hAnsi="Arial" w:cs="Arial"/>
        </w:rPr>
        <w:t>6</w:t>
      </w:r>
      <w:r w:rsidRPr="00DE2445">
        <w:rPr>
          <w:rFonts w:ascii="Arial" w:hAnsi="Arial" w:cs="Arial"/>
        </w:rPr>
        <w:t xml:space="preserve"> and </w:t>
      </w:r>
      <w:r w:rsidR="00271ECC">
        <w:rPr>
          <w:rFonts w:ascii="Arial" w:hAnsi="Arial" w:cs="Arial"/>
        </w:rPr>
        <w:t>7</w:t>
      </w:r>
      <w:r w:rsidRPr="00DE2445">
        <w:rPr>
          <w:rFonts w:ascii="Arial" w:hAnsi="Arial" w:cs="Arial"/>
        </w:rPr>
        <w:t xml:space="preserve"> depict the LEA distributions of barriers related to risk, the availability of finance and the availability of skills respectively. In each case we also show related confidence intervals which as before reflect the number of survey observations in each LEA. Here we see a rather different pattern to that observed earlier with firms in a number of the LEAs which had less strong innovation performance reporting significant barriers to innovation. There is however little clear urban-rural or North-South divide in terms of the perceived barriers suggesting perhaps that these are related more strongly to local rather than regional factors. </w:t>
      </w:r>
    </w:p>
    <w:p w:rsidR="00844FD4" w:rsidRPr="00DE2445" w:rsidRDefault="00844FD4" w:rsidP="00844FD4">
      <w:pPr>
        <w:pStyle w:val="ListParagraph"/>
        <w:numPr>
          <w:ilvl w:val="0"/>
          <w:numId w:val="3"/>
        </w:numPr>
        <w:spacing w:line="240" w:lineRule="auto"/>
        <w:rPr>
          <w:rFonts w:ascii="Arial" w:hAnsi="Arial" w:cs="Arial"/>
          <w:b/>
        </w:rPr>
      </w:pPr>
      <w:r w:rsidRPr="00DE2445">
        <w:rPr>
          <w:rFonts w:ascii="Arial" w:hAnsi="Arial" w:cs="Arial"/>
          <w:b/>
        </w:rPr>
        <w:t>Next Steps</w:t>
      </w:r>
    </w:p>
    <w:p w:rsidR="00C857ED" w:rsidRDefault="00844FD4" w:rsidP="00844FD4">
      <w:pPr>
        <w:spacing w:line="240" w:lineRule="auto"/>
        <w:jc w:val="both"/>
        <w:rPr>
          <w:rFonts w:ascii="Arial" w:hAnsi="Arial" w:cs="Arial"/>
        </w:rPr>
      </w:pPr>
      <w:r w:rsidRPr="00DE2445">
        <w:rPr>
          <w:rFonts w:ascii="Arial" w:hAnsi="Arial" w:cs="Arial"/>
        </w:rPr>
        <w:t>Current innovation benchmarks relate to the 2002-201</w:t>
      </w:r>
      <w:r w:rsidR="00DE2445">
        <w:rPr>
          <w:rFonts w:ascii="Arial" w:hAnsi="Arial" w:cs="Arial"/>
        </w:rPr>
        <w:t>0 period only. New data for 2010</w:t>
      </w:r>
      <w:r w:rsidRPr="00DE2445">
        <w:rPr>
          <w:rFonts w:ascii="Arial" w:hAnsi="Arial" w:cs="Arial"/>
        </w:rPr>
        <w:t xml:space="preserve">-2012 should become available </w:t>
      </w:r>
      <w:r w:rsidR="00A43AA4">
        <w:rPr>
          <w:rFonts w:ascii="Arial" w:hAnsi="Arial" w:cs="Arial"/>
        </w:rPr>
        <w:t xml:space="preserve">in late 2014 </w:t>
      </w:r>
      <w:r w:rsidRPr="00DE2445">
        <w:rPr>
          <w:rFonts w:ascii="Arial" w:hAnsi="Arial" w:cs="Arial"/>
        </w:rPr>
        <w:t xml:space="preserve">and the benchmarks will </w:t>
      </w:r>
      <w:r w:rsidR="00C857ED">
        <w:rPr>
          <w:rFonts w:ascii="Arial" w:hAnsi="Arial" w:cs="Arial"/>
        </w:rPr>
        <w:t xml:space="preserve">then </w:t>
      </w:r>
      <w:r w:rsidRPr="00DE2445">
        <w:rPr>
          <w:rFonts w:ascii="Arial" w:hAnsi="Arial" w:cs="Arial"/>
        </w:rPr>
        <w:t xml:space="preserve">be updated to include this most recent data. </w:t>
      </w:r>
      <w:r w:rsidR="00C857ED">
        <w:rPr>
          <w:rFonts w:ascii="Arial" w:hAnsi="Arial" w:cs="Arial"/>
        </w:rPr>
        <w:t xml:space="preserve">We also plan further analysis to explore the relationships between benchmarks at the local level and the relationship between innovation outcomes and local barriers to innovation. </w:t>
      </w:r>
    </w:p>
    <w:p w:rsidR="00844FD4" w:rsidRPr="00DE2445" w:rsidRDefault="00844FD4" w:rsidP="00844FD4">
      <w:pPr>
        <w:spacing w:line="240" w:lineRule="auto"/>
        <w:jc w:val="both"/>
        <w:rPr>
          <w:rFonts w:ascii="Arial" w:hAnsi="Arial" w:cs="Arial"/>
        </w:rPr>
      </w:pPr>
      <w:r w:rsidRPr="00DE2445">
        <w:rPr>
          <w:rFonts w:ascii="Arial" w:hAnsi="Arial" w:cs="Arial"/>
        </w:rPr>
        <w:t xml:space="preserve">We invite comments or suggestions as to indicators or </w:t>
      </w:r>
      <w:r w:rsidR="00A43AA4">
        <w:rPr>
          <w:rFonts w:ascii="Arial" w:hAnsi="Arial" w:cs="Arial"/>
        </w:rPr>
        <w:t xml:space="preserve">further </w:t>
      </w:r>
      <w:r w:rsidRPr="00DE2445">
        <w:rPr>
          <w:rFonts w:ascii="Arial" w:hAnsi="Arial" w:cs="Arial"/>
        </w:rPr>
        <w:t xml:space="preserve">analysis which would be useful. </w:t>
      </w:r>
    </w:p>
    <w:p w:rsidR="00844FD4" w:rsidRPr="00DE2445" w:rsidRDefault="00844FD4" w:rsidP="00844FD4">
      <w:pPr>
        <w:spacing w:line="240" w:lineRule="auto"/>
        <w:rPr>
          <w:rFonts w:ascii="Arial" w:hAnsi="Arial" w:cs="Arial"/>
          <w:b/>
        </w:rPr>
      </w:pPr>
    </w:p>
    <w:p w:rsidR="00E72E43" w:rsidRPr="00DE2445" w:rsidRDefault="00E72E43">
      <w:pPr>
        <w:rPr>
          <w:rFonts w:ascii="Arial" w:hAnsi="Arial" w:cs="Arial"/>
          <w:b/>
        </w:rPr>
      </w:pPr>
      <w:r w:rsidRPr="00DE2445">
        <w:rPr>
          <w:rFonts w:ascii="Arial" w:hAnsi="Arial" w:cs="Arial"/>
          <w:b/>
        </w:rPr>
        <w:br w:type="page"/>
      </w:r>
    </w:p>
    <w:p w:rsidR="00E72E43" w:rsidRPr="00DE2445" w:rsidRDefault="008B113E" w:rsidP="0053126F">
      <w:pPr>
        <w:jc w:val="center"/>
        <w:rPr>
          <w:rFonts w:ascii="Arial" w:hAnsi="Arial" w:cs="Arial"/>
          <w:b/>
        </w:rPr>
      </w:pPr>
      <w:r>
        <w:rPr>
          <w:rFonts w:ascii="Arial" w:hAnsi="Arial" w:cs="Arial"/>
          <w:b/>
        </w:rPr>
        <w:lastRenderedPageBreak/>
        <w:t>Figure 5</w:t>
      </w:r>
      <w:r w:rsidR="00844FD4" w:rsidRPr="00DE2445">
        <w:rPr>
          <w:rFonts w:ascii="Arial" w:hAnsi="Arial" w:cs="Arial"/>
          <w:b/>
        </w:rPr>
        <w:t xml:space="preserve">: Barriers to innovation – risks of innovation too high </w:t>
      </w:r>
    </w:p>
    <w:p w:rsidR="0053126F" w:rsidRDefault="007558C8" w:rsidP="007558C8">
      <w:pPr>
        <w:spacing w:line="240" w:lineRule="auto"/>
        <w:rPr>
          <w:rFonts w:ascii="Arial" w:hAnsi="Arial" w:cs="Arial"/>
          <w:b/>
        </w:rPr>
      </w:pPr>
      <w:r>
        <w:rPr>
          <w:rFonts w:ascii="Arial" w:hAnsi="Arial" w:cs="Arial"/>
          <w:b/>
          <w:noProof/>
          <w:lang w:eastAsia="en-GB"/>
        </w:rPr>
        <w:drawing>
          <wp:inline distT="0" distB="0" distL="0" distR="0" wp14:anchorId="72362E64">
            <wp:extent cx="4938144" cy="3248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2477" cy="3250875"/>
                    </a:xfrm>
                    <a:prstGeom prst="rect">
                      <a:avLst/>
                    </a:prstGeom>
                    <a:noFill/>
                  </pic:spPr>
                </pic:pic>
              </a:graphicData>
            </a:graphic>
          </wp:inline>
        </w:drawing>
      </w:r>
    </w:p>
    <w:p w:rsidR="00844FD4" w:rsidRPr="00DE2445" w:rsidRDefault="008B113E" w:rsidP="00E72E43">
      <w:pPr>
        <w:spacing w:line="240" w:lineRule="auto"/>
        <w:jc w:val="center"/>
        <w:rPr>
          <w:rFonts w:ascii="Arial" w:hAnsi="Arial" w:cs="Arial"/>
          <w:b/>
        </w:rPr>
      </w:pPr>
      <w:r>
        <w:rPr>
          <w:rFonts w:ascii="Arial" w:hAnsi="Arial" w:cs="Arial"/>
          <w:b/>
        </w:rPr>
        <w:t>Figure 6</w:t>
      </w:r>
      <w:r w:rsidR="00844FD4" w:rsidRPr="00DE2445">
        <w:rPr>
          <w:rFonts w:ascii="Arial" w:hAnsi="Arial" w:cs="Arial"/>
          <w:b/>
        </w:rPr>
        <w:t>: Barriers to innovation – availability of finance</w:t>
      </w:r>
    </w:p>
    <w:p w:rsidR="00844FD4" w:rsidRPr="00DE2445" w:rsidRDefault="007558C8" w:rsidP="00844FD4">
      <w:pPr>
        <w:spacing w:line="240" w:lineRule="auto"/>
        <w:rPr>
          <w:rFonts w:ascii="Arial" w:hAnsi="Arial" w:cs="Arial"/>
          <w:b/>
        </w:rPr>
      </w:pPr>
      <w:r>
        <w:rPr>
          <w:rFonts w:ascii="Arial" w:hAnsi="Arial" w:cs="Arial"/>
          <w:b/>
          <w:noProof/>
          <w:lang w:eastAsia="en-GB"/>
        </w:rPr>
        <w:drawing>
          <wp:inline distT="0" distB="0" distL="0" distR="0" wp14:anchorId="18D204D0">
            <wp:extent cx="5001264" cy="32861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65" cy="3287834"/>
                    </a:xfrm>
                    <a:prstGeom prst="rect">
                      <a:avLst/>
                    </a:prstGeom>
                    <a:noFill/>
                  </pic:spPr>
                </pic:pic>
              </a:graphicData>
            </a:graphic>
          </wp:inline>
        </w:drawing>
      </w:r>
    </w:p>
    <w:p w:rsidR="00844FD4" w:rsidRPr="00DE2445" w:rsidRDefault="00844FD4" w:rsidP="00844FD4">
      <w:pPr>
        <w:spacing w:line="240" w:lineRule="auto"/>
        <w:rPr>
          <w:rFonts w:ascii="Arial" w:hAnsi="Arial" w:cs="Arial"/>
          <w:b/>
        </w:rPr>
      </w:pPr>
    </w:p>
    <w:p w:rsidR="00E72E43" w:rsidRPr="00DE2445" w:rsidRDefault="00E72E43">
      <w:pPr>
        <w:rPr>
          <w:rFonts w:ascii="Arial" w:hAnsi="Arial" w:cs="Arial"/>
          <w:b/>
        </w:rPr>
      </w:pPr>
      <w:r w:rsidRPr="00DE2445">
        <w:rPr>
          <w:rFonts w:ascii="Arial" w:hAnsi="Arial" w:cs="Arial"/>
          <w:b/>
        </w:rPr>
        <w:br w:type="page"/>
      </w:r>
    </w:p>
    <w:p w:rsidR="00844FD4" w:rsidRPr="00DE2445" w:rsidRDefault="008B113E" w:rsidP="00844FD4">
      <w:pPr>
        <w:spacing w:line="240" w:lineRule="auto"/>
        <w:jc w:val="center"/>
        <w:rPr>
          <w:rFonts w:ascii="Arial" w:hAnsi="Arial" w:cs="Arial"/>
          <w:b/>
        </w:rPr>
      </w:pPr>
      <w:r>
        <w:rPr>
          <w:rFonts w:ascii="Arial" w:hAnsi="Arial" w:cs="Arial"/>
          <w:b/>
        </w:rPr>
        <w:lastRenderedPageBreak/>
        <w:t>Figure 7</w:t>
      </w:r>
      <w:r w:rsidR="00844FD4" w:rsidRPr="00DE2445">
        <w:rPr>
          <w:rFonts w:ascii="Arial" w:hAnsi="Arial" w:cs="Arial"/>
          <w:b/>
        </w:rPr>
        <w:t>: Barriers to innovation – availability of skills</w:t>
      </w:r>
    </w:p>
    <w:p w:rsidR="00844FD4" w:rsidRPr="00DE2445" w:rsidRDefault="007558C8" w:rsidP="00844FD4">
      <w:pPr>
        <w:spacing w:line="240" w:lineRule="auto"/>
        <w:rPr>
          <w:rFonts w:ascii="Arial" w:hAnsi="Arial" w:cs="Arial"/>
          <w:b/>
        </w:rPr>
      </w:pPr>
      <w:r>
        <w:rPr>
          <w:rFonts w:ascii="Arial" w:hAnsi="Arial" w:cs="Arial"/>
          <w:b/>
          <w:noProof/>
          <w:lang w:eastAsia="en-GB"/>
        </w:rPr>
        <w:drawing>
          <wp:inline distT="0" distB="0" distL="0" distR="0" wp14:anchorId="00361335">
            <wp:extent cx="5120253" cy="3364308"/>
            <wp:effectExtent l="0" t="0" r="444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2916" cy="3366058"/>
                    </a:xfrm>
                    <a:prstGeom prst="rect">
                      <a:avLst/>
                    </a:prstGeom>
                    <a:noFill/>
                  </pic:spPr>
                </pic:pic>
              </a:graphicData>
            </a:graphic>
          </wp:inline>
        </w:drawing>
      </w:r>
    </w:p>
    <w:p w:rsidR="00844FD4" w:rsidRPr="00DE2445" w:rsidRDefault="00844FD4" w:rsidP="00844FD4">
      <w:pPr>
        <w:spacing w:line="240" w:lineRule="auto"/>
        <w:rPr>
          <w:rFonts w:ascii="Arial" w:hAnsi="Arial" w:cs="Arial"/>
          <w:b/>
        </w:rPr>
      </w:pPr>
    </w:p>
    <w:p w:rsidR="00844FD4" w:rsidRPr="00DE2445" w:rsidRDefault="00844FD4" w:rsidP="00844FD4">
      <w:pPr>
        <w:spacing w:line="240" w:lineRule="auto"/>
        <w:rPr>
          <w:rFonts w:ascii="Arial" w:hAnsi="Arial" w:cs="Arial"/>
          <w:b/>
        </w:rPr>
      </w:pPr>
    </w:p>
    <w:p w:rsidR="00844FD4" w:rsidRPr="00DE2445" w:rsidRDefault="00844FD4" w:rsidP="00844FD4">
      <w:pPr>
        <w:spacing w:line="240" w:lineRule="auto"/>
        <w:rPr>
          <w:rFonts w:ascii="Arial" w:hAnsi="Arial" w:cs="Arial"/>
          <w:b/>
        </w:rPr>
      </w:pPr>
    </w:p>
    <w:p w:rsidR="00844FD4" w:rsidRPr="00DE2445" w:rsidRDefault="00844FD4" w:rsidP="00844FD4">
      <w:pPr>
        <w:spacing w:line="240" w:lineRule="auto"/>
        <w:rPr>
          <w:rFonts w:ascii="Arial" w:hAnsi="Arial" w:cs="Arial"/>
          <w:b/>
        </w:rPr>
      </w:pPr>
    </w:p>
    <w:p w:rsidR="00BC7D7C" w:rsidRPr="00DE2445" w:rsidRDefault="00BC7D7C">
      <w:pPr>
        <w:rPr>
          <w:rFonts w:ascii="Arial" w:hAnsi="Arial" w:cs="Arial"/>
          <w:b/>
        </w:rPr>
      </w:pPr>
      <w:r w:rsidRPr="00DE2445">
        <w:rPr>
          <w:rFonts w:ascii="Arial" w:hAnsi="Arial" w:cs="Arial"/>
          <w:b/>
        </w:rPr>
        <w:br w:type="page"/>
      </w:r>
    </w:p>
    <w:p w:rsidR="00BC7D7C" w:rsidRPr="00DE2445" w:rsidRDefault="00BC7D7C" w:rsidP="00D76E89">
      <w:pPr>
        <w:spacing w:line="240" w:lineRule="auto"/>
        <w:jc w:val="center"/>
        <w:rPr>
          <w:rFonts w:ascii="Arial" w:hAnsi="Arial" w:cs="Arial"/>
          <w:b/>
        </w:rPr>
      </w:pPr>
      <w:r w:rsidRPr="00DE2445">
        <w:rPr>
          <w:rFonts w:ascii="Arial" w:eastAsia="Times New Roman" w:hAnsi="Arial" w:cs="Arial"/>
          <w:b/>
          <w:bCs/>
          <w:color w:val="000000"/>
        </w:rPr>
        <w:lastRenderedPageBreak/>
        <w:t>Table 1: Percentage of Firms introducing Product/Service Innovation</w:t>
      </w:r>
    </w:p>
    <w:tbl>
      <w:tblPr>
        <w:tblW w:w="9675" w:type="dxa"/>
        <w:tblInd w:w="93" w:type="dxa"/>
        <w:tblLook w:val="04A0" w:firstRow="1" w:lastRow="0" w:firstColumn="1" w:lastColumn="0" w:noHBand="0" w:noVBand="1"/>
      </w:tblPr>
      <w:tblGrid>
        <w:gridCol w:w="9675"/>
      </w:tblGrid>
      <w:tr w:rsidR="00BC7D7C" w:rsidRPr="00DE2445" w:rsidTr="00BC7D7C">
        <w:trPr>
          <w:trHeight w:val="302"/>
        </w:trPr>
        <w:tc>
          <w:tcPr>
            <w:tcW w:w="9675" w:type="dxa"/>
            <w:tcBorders>
              <w:top w:val="nil"/>
              <w:left w:val="nil"/>
              <w:bottom w:val="nil"/>
              <w:right w:val="nil"/>
            </w:tcBorders>
            <w:shd w:val="clear" w:color="auto" w:fill="auto"/>
            <w:noWrap/>
            <w:vAlign w:val="bottom"/>
            <w:hideMark/>
          </w:tcPr>
          <w:tbl>
            <w:tblPr>
              <w:tblStyle w:val="TableGrid"/>
              <w:tblpPr w:leftFromText="180" w:rightFromText="180" w:vertAnchor="text" w:horzAnchor="margin" w:tblpXSpec="center" w:tblpY="-149"/>
              <w:tblOverlap w:val="never"/>
              <w:tblW w:w="7129" w:type="dxa"/>
              <w:jc w:val="center"/>
              <w:tblLook w:val="06A0" w:firstRow="1" w:lastRow="0" w:firstColumn="1" w:lastColumn="0" w:noHBand="1" w:noVBand="1"/>
            </w:tblPr>
            <w:tblGrid>
              <w:gridCol w:w="3834"/>
              <w:gridCol w:w="779"/>
              <w:gridCol w:w="811"/>
              <w:gridCol w:w="852"/>
              <w:gridCol w:w="853"/>
            </w:tblGrid>
            <w:tr w:rsidR="00BC7D7C" w:rsidRPr="00DE2445" w:rsidTr="00D76E89">
              <w:trPr>
                <w:trHeight w:val="302"/>
                <w:jc w:val="center"/>
              </w:trPr>
              <w:tc>
                <w:tcPr>
                  <w:tcW w:w="3834" w:type="dxa"/>
                  <w:noWrap/>
                </w:tcPr>
                <w:p w:rsidR="00BC7D7C" w:rsidRPr="00DE2445" w:rsidRDefault="00BC7D7C" w:rsidP="00BC7D7C">
                  <w:pPr>
                    <w:rPr>
                      <w:rFonts w:ascii="Arial" w:eastAsia="Times New Roman" w:hAnsi="Arial" w:cs="Arial"/>
                      <w:b/>
                      <w:bCs/>
                      <w:color w:val="000000"/>
                    </w:rPr>
                  </w:pPr>
                </w:p>
              </w:tc>
              <w:tc>
                <w:tcPr>
                  <w:tcW w:w="779" w:type="dxa"/>
                  <w:noWrap/>
                </w:tcPr>
                <w:p w:rsidR="00BC7D7C" w:rsidRPr="00DE2445" w:rsidRDefault="00BC7D7C" w:rsidP="00BC7D7C">
                  <w:pPr>
                    <w:jc w:val="center"/>
                    <w:rPr>
                      <w:rFonts w:ascii="Arial" w:eastAsia="Times New Roman" w:hAnsi="Arial" w:cs="Arial"/>
                      <w:b/>
                      <w:bCs/>
                      <w:color w:val="000000"/>
                    </w:rPr>
                  </w:pPr>
                  <w:r w:rsidRPr="00DE2445">
                    <w:rPr>
                      <w:rFonts w:ascii="Arial" w:eastAsia="Times New Roman" w:hAnsi="Arial" w:cs="Arial"/>
                      <w:b/>
                      <w:bCs/>
                      <w:color w:val="000000"/>
                    </w:rPr>
                    <w:t>2002-04</w:t>
                  </w:r>
                </w:p>
              </w:tc>
              <w:tc>
                <w:tcPr>
                  <w:tcW w:w="811" w:type="dxa"/>
                  <w:noWrap/>
                </w:tcPr>
                <w:p w:rsidR="00BC7D7C" w:rsidRPr="00DE2445" w:rsidRDefault="00BC7D7C" w:rsidP="00BC7D7C">
                  <w:pPr>
                    <w:jc w:val="center"/>
                    <w:rPr>
                      <w:rFonts w:ascii="Arial" w:eastAsia="Times New Roman" w:hAnsi="Arial" w:cs="Arial"/>
                      <w:b/>
                      <w:bCs/>
                      <w:color w:val="000000"/>
                    </w:rPr>
                  </w:pPr>
                  <w:r w:rsidRPr="00DE2445">
                    <w:rPr>
                      <w:rFonts w:ascii="Arial" w:eastAsia="Times New Roman" w:hAnsi="Arial" w:cs="Arial"/>
                      <w:b/>
                      <w:bCs/>
                      <w:color w:val="000000"/>
                    </w:rPr>
                    <w:t>2004-06</w:t>
                  </w:r>
                </w:p>
              </w:tc>
              <w:tc>
                <w:tcPr>
                  <w:tcW w:w="852" w:type="dxa"/>
                  <w:noWrap/>
                </w:tcPr>
                <w:p w:rsidR="00BC7D7C" w:rsidRPr="00DE2445" w:rsidRDefault="00BC7D7C" w:rsidP="00BC7D7C">
                  <w:pPr>
                    <w:jc w:val="center"/>
                    <w:rPr>
                      <w:rFonts w:ascii="Arial" w:eastAsia="Times New Roman" w:hAnsi="Arial" w:cs="Arial"/>
                      <w:b/>
                      <w:bCs/>
                      <w:color w:val="000000"/>
                    </w:rPr>
                  </w:pPr>
                  <w:r w:rsidRPr="00DE2445">
                    <w:rPr>
                      <w:rFonts w:ascii="Arial" w:eastAsia="Times New Roman" w:hAnsi="Arial" w:cs="Arial"/>
                      <w:b/>
                      <w:bCs/>
                      <w:color w:val="000000"/>
                    </w:rPr>
                    <w:t>2006-08</w:t>
                  </w:r>
                </w:p>
              </w:tc>
              <w:tc>
                <w:tcPr>
                  <w:tcW w:w="853" w:type="dxa"/>
                  <w:noWrap/>
                </w:tcPr>
                <w:p w:rsidR="00BC7D7C" w:rsidRPr="00DE2445" w:rsidRDefault="00BC7D7C" w:rsidP="00BC7D7C">
                  <w:pPr>
                    <w:jc w:val="center"/>
                    <w:rPr>
                      <w:rFonts w:ascii="Arial" w:eastAsia="Times New Roman" w:hAnsi="Arial" w:cs="Arial"/>
                      <w:b/>
                      <w:bCs/>
                      <w:color w:val="000000"/>
                    </w:rPr>
                  </w:pPr>
                  <w:r w:rsidRPr="00DE2445">
                    <w:rPr>
                      <w:rFonts w:ascii="Arial" w:eastAsia="Times New Roman" w:hAnsi="Arial" w:cs="Arial"/>
                      <w:b/>
                      <w:bCs/>
                      <w:color w:val="000000"/>
                    </w:rPr>
                    <w:t>2008-10</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South East Midlands</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37</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29</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30</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Hertfordshire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30</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25</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29</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Coast to Capital</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30</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25</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Oxfordshire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30</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30</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25</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The Marches</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25</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33</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25</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Black Country</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25</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Cheshire and Warrington</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33</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Derby, Derbyshire, Nottingham and Nottinghamshire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Dorset</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29</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Enterprise M3</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32</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29</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31</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North Eastern</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Tees Valley</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25</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Lancashire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Northamptonshire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28</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Buckinghamshire Thames Valley</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30</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Greater Cambridge, Greater Peterborough</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31</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29</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Leeds City Region</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West of England</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Coventry and Warwickshire.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30</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30</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Gloucestershire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45</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Leicester and Leicestershire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28</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Solent</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35</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South East</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Greater Birmingham and Solihull</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Heart of the South West</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Liverpool City Region</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29</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London</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Thames Valley Berkshire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32</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28</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Greater Lincolnshire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Greater Manchester</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Sheffield City Region</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28</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Swindon and Wiltshire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25</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28</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Cornwall</w:t>
                  </w:r>
                  <w:r w:rsidR="00DE2445" w:rsidRPr="00DE2445">
                    <w:rPr>
                      <w:rFonts w:ascii="Arial" w:eastAsia="Times New Roman" w:hAnsi="Arial" w:cs="Arial"/>
                      <w:color w:val="000000"/>
                    </w:rPr>
                    <w:t xml:space="preserve"> </w:t>
                  </w:r>
                  <w:r w:rsidRPr="00DE2445">
                    <w:rPr>
                      <w:rFonts w:ascii="Arial" w:eastAsia="Times New Roman" w:hAnsi="Arial" w:cs="Arial"/>
                      <w:color w:val="000000"/>
                    </w:rPr>
                    <w:t>and the Isles of Scilly</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29</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 xml:space="preserve">Stoke-on-Trent </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New Anglia</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Worcestershire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37</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Humber</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York, North Yorkshire</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Cumbria</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p>
              </w:tc>
              <w:tc>
                <w:tcPr>
                  <w:tcW w:w="779" w:type="dxa"/>
                  <w:noWrap/>
                  <w:hideMark/>
                </w:tcPr>
                <w:p w:rsidR="00BC7D7C" w:rsidRPr="00DE2445" w:rsidRDefault="00BC7D7C" w:rsidP="00BC7D7C">
                  <w:pPr>
                    <w:jc w:val="center"/>
                    <w:rPr>
                      <w:rFonts w:ascii="Arial" w:eastAsia="Times New Roman" w:hAnsi="Arial" w:cs="Arial"/>
                      <w:color w:val="000000"/>
                    </w:rPr>
                  </w:pPr>
                </w:p>
              </w:tc>
              <w:tc>
                <w:tcPr>
                  <w:tcW w:w="811" w:type="dxa"/>
                  <w:noWrap/>
                  <w:hideMark/>
                </w:tcPr>
                <w:p w:rsidR="00BC7D7C" w:rsidRPr="00DE2445" w:rsidRDefault="00BC7D7C" w:rsidP="00BC7D7C">
                  <w:pPr>
                    <w:jc w:val="center"/>
                    <w:rPr>
                      <w:rFonts w:ascii="Arial" w:eastAsia="Times New Roman" w:hAnsi="Arial" w:cs="Arial"/>
                      <w:color w:val="000000"/>
                    </w:rPr>
                  </w:pPr>
                </w:p>
              </w:tc>
              <w:tc>
                <w:tcPr>
                  <w:tcW w:w="852" w:type="dxa"/>
                  <w:noWrap/>
                  <w:hideMark/>
                </w:tcPr>
                <w:p w:rsidR="00BC7D7C" w:rsidRPr="00DE2445" w:rsidRDefault="00BC7D7C" w:rsidP="00BC7D7C">
                  <w:pPr>
                    <w:jc w:val="center"/>
                    <w:rPr>
                      <w:rFonts w:ascii="Arial" w:eastAsia="Times New Roman" w:hAnsi="Arial" w:cs="Arial"/>
                      <w:color w:val="000000"/>
                    </w:rPr>
                  </w:pPr>
                </w:p>
              </w:tc>
              <w:tc>
                <w:tcPr>
                  <w:tcW w:w="853" w:type="dxa"/>
                  <w:noWrap/>
                  <w:hideMark/>
                </w:tcPr>
                <w:p w:rsidR="00BC7D7C" w:rsidRPr="00DE2445" w:rsidRDefault="00BC7D7C" w:rsidP="00BC7D7C">
                  <w:pPr>
                    <w:jc w:val="center"/>
                    <w:rPr>
                      <w:rFonts w:ascii="Arial" w:eastAsia="Times New Roman" w:hAnsi="Arial" w:cs="Arial"/>
                      <w:color w:val="000000"/>
                    </w:rPr>
                  </w:pPr>
                </w:p>
              </w:tc>
            </w:tr>
            <w:tr w:rsidR="00BC7D7C" w:rsidRPr="00DE2445" w:rsidTr="00D76E89">
              <w:trPr>
                <w:trHeight w:val="227"/>
                <w:jc w:val="center"/>
              </w:trPr>
              <w:tc>
                <w:tcPr>
                  <w:tcW w:w="383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Total</w:t>
                  </w:r>
                </w:p>
              </w:tc>
              <w:tc>
                <w:tcPr>
                  <w:tcW w:w="779"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26</w:t>
                  </w:r>
                </w:p>
              </w:tc>
              <w:tc>
                <w:tcPr>
                  <w:tcW w:w="811"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852"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24</w:t>
                  </w:r>
                </w:p>
              </w:tc>
              <w:tc>
                <w:tcPr>
                  <w:tcW w:w="853"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r>
          </w:tbl>
          <w:p w:rsidR="00BC7D7C" w:rsidRPr="00DE2445" w:rsidRDefault="00BC7D7C" w:rsidP="00BC7D7C">
            <w:pPr>
              <w:spacing w:after="0" w:line="240" w:lineRule="auto"/>
              <w:rPr>
                <w:rFonts w:ascii="Arial" w:eastAsia="Times New Roman" w:hAnsi="Arial" w:cs="Arial"/>
                <w:color w:val="000000"/>
              </w:rPr>
            </w:pPr>
          </w:p>
        </w:tc>
      </w:tr>
    </w:tbl>
    <w:p w:rsidR="00BC7D7C" w:rsidRPr="00DE2445" w:rsidRDefault="00BC7D7C" w:rsidP="00BC7D7C">
      <w:pPr>
        <w:spacing w:line="240" w:lineRule="auto"/>
        <w:jc w:val="center"/>
        <w:rPr>
          <w:rFonts w:ascii="Arial" w:hAnsi="Arial" w:cs="Arial"/>
        </w:rPr>
      </w:pPr>
      <w:r w:rsidRPr="00DE2445">
        <w:rPr>
          <w:rFonts w:ascii="Arial" w:hAnsi="Arial" w:cs="Arial"/>
          <w:b/>
        </w:rPr>
        <w:t>Notes:</w:t>
      </w:r>
      <w:r w:rsidRPr="00DE2445">
        <w:rPr>
          <w:rFonts w:ascii="Arial" w:hAnsi="Arial" w:cs="Arial"/>
        </w:rPr>
        <w:t xml:space="preserve"> Responses are weighted. ‘*’ indicates data supressed due to small number of observations</w:t>
      </w:r>
    </w:p>
    <w:p w:rsidR="00E72E43" w:rsidRPr="00DE2445" w:rsidRDefault="00E72E43">
      <w:pPr>
        <w:rPr>
          <w:rFonts w:ascii="Arial" w:eastAsia="Times New Roman" w:hAnsi="Arial" w:cs="Arial"/>
          <w:b/>
          <w:bCs/>
          <w:color w:val="000000"/>
        </w:rPr>
      </w:pPr>
      <w:r w:rsidRPr="00DE2445">
        <w:rPr>
          <w:rFonts w:ascii="Arial" w:eastAsia="Times New Roman" w:hAnsi="Arial" w:cs="Arial"/>
          <w:b/>
          <w:bCs/>
          <w:color w:val="000000"/>
        </w:rPr>
        <w:br w:type="page"/>
      </w:r>
    </w:p>
    <w:p w:rsidR="00BC7D7C" w:rsidRPr="00DE2445" w:rsidRDefault="00BC7D7C" w:rsidP="00BC7D7C">
      <w:pPr>
        <w:spacing w:line="240" w:lineRule="auto"/>
        <w:jc w:val="center"/>
        <w:rPr>
          <w:rFonts w:ascii="Arial" w:eastAsia="Times New Roman" w:hAnsi="Arial" w:cs="Arial"/>
          <w:bCs/>
          <w:color w:val="000000"/>
        </w:rPr>
      </w:pPr>
      <w:r w:rsidRPr="00DE2445">
        <w:rPr>
          <w:rFonts w:ascii="Arial" w:eastAsia="Times New Roman" w:hAnsi="Arial" w:cs="Arial"/>
          <w:b/>
          <w:bCs/>
          <w:color w:val="000000"/>
        </w:rPr>
        <w:lastRenderedPageBreak/>
        <w:t>Table 2: % of Firms introducing Process Innovation</w:t>
      </w:r>
    </w:p>
    <w:tbl>
      <w:tblPr>
        <w:tblStyle w:val="TableGrid"/>
        <w:tblW w:w="7905" w:type="dxa"/>
        <w:tblLayout w:type="fixed"/>
        <w:tblLook w:val="06A0" w:firstRow="1" w:lastRow="0" w:firstColumn="1" w:lastColumn="0" w:noHBand="1" w:noVBand="1"/>
      </w:tblPr>
      <w:tblGrid>
        <w:gridCol w:w="3794"/>
        <w:gridCol w:w="1027"/>
        <w:gridCol w:w="1028"/>
        <w:gridCol w:w="1028"/>
        <w:gridCol w:w="1028"/>
      </w:tblGrid>
      <w:tr w:rsidR="00BC7D7C" w:rsidRPr="00DE2445" w:rsidTr="00DE2445">
        <w:trPr>
          <w:trHeight w:val="302"/>
        </w:trPr>
        <w:tc>
          <w:tcPr>
            <w:tcW w:w="3794" w:type="dxa"/>
            <w:noWrap/>
            <w:hideMark/>
          </w:tcPr>
          <w:p w:rsidR="00BC7D7C" w:rsidRPr="00DE2445" w:rsidRDefault="00BC7D7C" w:rsidP="00BC7D7C">
            <w:pPr>
              <w:rPr>
                <w:rFonts w:ascii="Arial" w:eastAsia="Times New Roman" w:hAnsi="Arial" w:cs="Arial"/>
                <w:b/>
                <w:bCs/>
                <w:color w:val="000000"/>
              </w:rPr>
            </w:pPr>
          </w:p>
        </w:tc>
        <w:tc>
          <w:tcPr>
            <w:tcW w:w="1027" w:type="dxa"/>
            <w:noWrap/>
            <w:hideMark/>
          </w:tcPr>
          <w:p w:rsidR="00BC7D7C" w:rsidRPr="00DE2445" w:rsidRDefault="00BC7D7C" w:rsidP="00BC7D7C">
            <w:pPr>
              <w:jc w:val="center"/>
              <w:rPr>
                <w:rFonts w:ascii="Arial" w:eastAsia="Times New Roman" w:hAnsi="Arial" w:cs="Arial"/>
                <w:b/>
                <w:bCs/>
                <w:color w:val="000000"/>
              </w:rPr>
            </w:pPr>
            <w:r w:rsidRPr="00DE2445">
              <w:rPr>
                <w:rFonts w:ascii="Arial" w:eastAsia="Times New Roman" w:hAnsi="Arial" w:cs="Arial"/>
                <w:b/>
                <w:bCs/>
                <w:color w:val="000000"/>
              </w:rPr>
              <w:t>2002-04</w:t>
            </w:r>
          </w:p>
        </w:tc>
        <w:tc>
          <w:tcPr>
            <w:tcW w:w="1028" w:type="dxa"/>
            <w:noWrap/>
            <w:hideMark/>
          </w:tcPr>
          <w:p w:rsidR="00BC7D7C" w:rsidRPr="00DE2445" w:rsidRDefault="00BC7D7C" w:rsidP="00BC7D7C">
            <w:pPr>
              <w:jc w:val="center"/>
              <w:rPr>
                <w:rFonts w:ascii="Arial" w:eastAsia="Times New Roman" w:hAnsi="Arial" w:cs="Arial"/>
                <w:b/>
                <w:bCs/>
                <w:color w:val="000000"/>
              </w:rPr>
            </w:pPr>
            <w:r w:rsidRPr="00DE2445">
              <w:rPr>
                <w:rFonts w:ascii="Arial" w:eastAsia="Times New Roman" w:hAnsi="Arial" w:cs="Arial"/>
                <w:b/>
                <w:bCs/>
                <w:color w:val="000000"/>
              </w:rPr>
              <w:t>2004-06</w:t>
            </w:r>
          </w:p>
        </w:tc>
        <w:tc>
          <w:tcPr>
            <w:tcW w:w="1028" w:type="dxa"/>
            <w:noWrap/>
            <w:hideMark/>
          </w:tcPr>
          <w:p w:rsidR="00BC7D7C" w:rsidRPr="00DE2445" w:rsidRDefault="00BC7D7C" w:rsidP="00BC7D7C">
            <w:pPr>
              <w:jc w:val="center"/>
              <w:rPr>
                <w:rFonts w:ascii="Arial" w:eastAsia="Times New Roman" w:hAnsi="Arial" w:cs="Arial"/>
                <w:b/>
                <w:bCs/>
                <w:color w:val="000000"/>
              </w:rPr>
            </w:pPr>
            <w:r w:rsidRPr="00DE2445">
              <w:rPr>
                <w:rFonts w:ascii="Arial" w:eastAsia="Times New Roman" w:hAnsi="Arial" w:cs="Arial"/>
                <w:b/>
                <w:bCs/>
                <w:color w:val="000000"/>
              </w:rPr>
              <w:t>2006-08</w:t>
            </w:r>
          </w:p>
        </w:tc>
        <w:tc>
          <w:tcPr>
            <w:tcW w:w="1028" w:type="dxa"/>
            <w:noWrap/>
            <w:hideMark/>
          </w:tcPr>
          <w:p w:rsidR="00BC7D7C" w:rsidRPr="00DE2445" w:rsidRDefault="00BC7D7C" w:rsidP="00BC7D7C">
            <w:pPr>
              <w:jc w:val="center"/>
              <w:rPr>
                <w:rFonts w:ascii="Arial" w:eastAsia="Times New Roman" w:hAnsi="Arial" w:cs="Arial"/>
                <w:b/>
                <w:bCs/>
                <w:color w:val="000000"/>
              </w:rPr>
            </w:pPr>
            <w:r w:rsidRPr="00DE2445">
              <w:rPr>
                <w:rFonts w:ascii="Arial" w:eastAsia="Times New Roman" w:hAnsi="Arial" w:cs="Arial"/>
                <w:b/>
                <w:bCs/>
                <w:color w:val="000000"/>
              </w:rPr>
              <w:t>2008-10</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South East Midlands</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Hertfordshire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Black Country</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Humber</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North Eastern</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Solent</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Tees Valley</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Buckinghamshire Thames Valley</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Coventry and Warwickshire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Enterprise M3</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 xml:space="preserve">Greater </w:t>
            </w:r>
            <w:proofErr w:type="spellStart"/>
            <w:r w:rsidRPr="00DE2445">
              <w:rPr>
                <w:rFonts w:ascii="Arial" w:eastAsia="Times New Roman" w:hAnsi="Arial" w:cs="Arial"/>
                <w:color w:val="000000"/>
              </w:rPr>
              <w:t>Cambridge,Greater</w:t>
            </w:r>
            <w:proofErr w:type="spellEnd"/>
            <w:r w:rsidRPr="00DE2445">
              <w:rPr>
                <w:rFonts w:ascii="Arial" w:eastAsia="Times New Roman" w:hAnsi="Arial" w:cs="Arial"/>
                <w:color w:val="000000"/>
              </w:rPr>
              <w:t xml:space="preserve"> Peterborough</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Lancashire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Northamptonshire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Oxfordshire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Coast to Capital</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Cornwall and Isles of Scilly</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Dorset</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Leeds City Region</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Leicester and Leicester</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New Anglia</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Worcestershire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Heart of the South West</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9</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Liverpool City Region</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9</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9</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South East</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Thames Valley Berkshire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Cheshire and Warrington</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Derby, Derbyshire, Nottingham and Nottinghamshire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Gloucestershire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14</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Greater Birmingham and Solihull</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Sheffield City Region</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Stoke-on-Trent and Staffordshire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10</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Greater Lincolnshire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8</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9</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Greater Manchester</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9</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London</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9</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17</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9</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Swindon and Wiltshire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13</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9</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The Marches</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19</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20</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8</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West of England</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7</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Cumbria</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York, North Yorkshire</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22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w:t>
            </w: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p>
        </w:tc>
        <w:tc>
          <w:tcPr>
            <w:tcW w:w="1027" w:type="dxa"/>
            <w:noWrap/>
            <w:hideMark/>
          </w:tcPr>
          <w:p w:rsidR="00BC7D7C" w:rsidRPr="00DE2445" w:rsidRDefault="00BC7D7C" w:rsidP="00BC7D7C">
            <w:pPr>
              <w:jc w:val="center"/>
              <w:rPr>
                <w:rFonts w:ascii="Arial" w:eastAsia="Times New Roman" w:hAnsi="Arial" w:cs="Arial"/>
                <w:color w:val="000000"/>
              </w:rPr>
            </w:pPr>
          </w:p>
        </w:tc>
        <w:tc>
          <w:tcPr>
            <w:tcW w:w="1028" w:type="dxa"/>
            <w:noWrap/>
            <w:hideMark/>
          </w:tcPr>
          <w:p w:rsidR="00BC7D7C" w:rsidRPr="00DE2445" w:rsidRDefault="00BC7D7C" w:rsidP="00BC7D7C">
            <w:pPr>
              <w:jc w:val="center"/>
              <w:rPr>
                <w:rFonts w:ascii="Arial" w:eastAsia="Times New Roman" w:hAnsi="Arial" w:cs="Arial"/>
                <w:color w:val="000000"/>
              </w:rPr>
            </w:pPr>
          </w:p>
        </w:tc>
        <w:tc>
          <w:tcPr>
            <w:tcW w:w="1028" w:type="dxa"/>
            <w:noWrap/>
            <w:hideMark/>
          </w:tcPr>
          <w:p w:rsidR="00BC7D7C" w:rsidRPr="00DE2445" w:rsidRDefault="00BC7D7C" w:rsidP="00BC7D7C">
            <w:pPr>
              <w:jc w:val="center"/>
              <w:rPr>
                <w:rFonts w:ascii="Arial" w:eastAsia="Times New Roman" w:hAnsi="Arial" w:cs="Arial"/>
                <w:color w:val="000000"/>
              </w:rPr>
            </w:pPr>
          </w:p>
        </w:tc>
        <w:tc>
          <w:tcPr>
            <w:tcW w:w="1028" w:type="dxa"/>
            <w:noWrap/>
            <w:hideMark/>
          </w:tcPr>
          <w:p w:rsidR="00BC7D7C" w:rsidRPr="00DE2445" w:rsidRDefault="00BC7D7C" w:rsidP="00BC7D7C">
            <w:pPr>
              <w:jc w:val="center"/>
              <w:rPr>
                <w:rFonts w:ascii="Arial" w:eastAsia="Times New Roman" w:hAnsi="Arial" w:cs="Arial"/>
                <w:color w:val="000000"/>
              </w:rPr>
            </w:pPr>
          </w:p>
        </w:tc>
      </w:tr>
      <w:tr w:rsidR="00BC7D7C" w:rsidRPr="00DE2445" w:rsidTr="00DE2445">
        <w:trPr>
          <w:trHeight w:val="227"/>
        </w:trPr>
        <w:tc>
          <w:tcPr>
            <w:tcW w:w="3794" w:type="dxa"/>
            <w:noWrap/>
            <w:hideMark/>
          </w:tcPr>
          <w:p w:rsidR="00BC7D7C" w:rsidRPr="00DE2445" w:rsidRDefault="00BC7D7C" w:rsidP="00BC7D7C">
            <w:pPr>
              <w:rPr>
                <w:rFonts w:ascii="Arial" w:eastAsia="Times New Roman" w:hAnsi="Arial" w:cs="Arial"/>
                <w:color w:val="000000"/>
              </w:rPr>
            </w:pPr>
            <w:r w:rsidRPr="00DE2445">
              <w:rPr>
                <w:rFonts w:ascii="Arial" w:eastAsia="Times New Roman" w:hAnsi="Arial" w:cs="Arial"/>
                <w:color w:val="000000"/>
              </w:rPr>
              <w:t>Total</w:t>
            </w:r>
          </w:p>
        </w:tc>
        <w:tc>
          <w:tcPr>
            <w:tcW w:w="1027"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16</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12</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15</w:t>
            </w:r>
          </w:p>
        </w:tc>
        <w:tc>
          <w:tcPr>
            <w:tcW w:w="1028" w:type="dxa"/>
            <w:noWrap/>
            <w:hideMark/>
          </w:tcPr>
          <w:p w:rsidR="00BC7D7C" w:rsidRPr="00DE2445" w:rsidRDefault="00BC7D7C" w:rsidP="00BC7D7C">
            <w:pPr>
              <w:jc w:val="center"/>
              <w:rPr>
                <w:rFonts w:ascii="Arial" w:eastAsia="Times New Roman" w:hAnsi="Arial" w:cs="Arial"/>
                <w:color w:val="000000"/>
              </w:rPr>
            </w:pPr>
            <w:r w:rsidRPr="00DE2445">
              <w:rPr>
                <w:rFonts w:ascii="Arial" w:eastAsia="Times New Roman" w:hAnsi="Arial" w:cs="Arial"/>
                <w:color w:val="000000"/>
              </w:rPr>
              <w:t>11</w:t>
            </w:r>
          </w:p>
        </w:tc>
      </w:tr>
    </w:tbl>
    <w:p w:rsidR="00BC7D7C" w:rsidRPr="00DE2445" w:rsidRDefault="00BC7D7C" w:rsidP="00BC7D7C">
      <w:pPr>
        <w:spacing w:line="240" w:lineRule="auto"/>
        <w:jc w:val="center"/>
        <w:rPr>
          <w:rFonts w:ascii="Arial" w:hAnsi="Arial" w:cs="Arial"/>
        </w:rPr>
      </w:pPr>
      <w:r w:rsidRPr="00DE2445">
        <w:rPr>
          <w:rFonts w:ascii="Arial" w:hAnsi="Arial" w:cs="Arial"/>
          <w:b/>
        </w:rPr>
        <w:t>Notes:</w:t>
      </w:r>
      <w:r w:rsidRPr="00DE2445">
        <w:rPr>
          <w:rFonts w:ascii="Arial" w:hAnsi="Arial" w:cs="Arial"/>
        </w:rPr>
        <w:t xml:space="preserve"> Responses are weighted. ‘*’ indicates data supressed due to small number of observations</w:t>
      </w:r>
    </w:p>
    <w:p w:rsidR="00E72E43" w:rsidRPr="00DE2445" w:rsidRDefault="00E72E43">
      <w:pPr>
        <w:rPr>
          <w:rFonts w:ascii="Arial" w:hAnsi="Arial" w:cs="Arial"/>
          <w:b/>
        </w:rPr>
      </w:pPr>
      <w:r w:rsidRPr="00DE2445">
        <w:rPr>
          <w:rFonts w:ascii="Arial" w:hAnsi="Arial" w:cs="Arial"/>
          <w:b/>
        </w:rPr>
        <w:br w:type="page"/>
      </w:r>
    </w:p>
    <w:p w:rsidR="00BC7D7C" w:rsidRPr="00DE2445" w:rsidRDefault="00BC7D7C" w:rsidP="00BC7D7C">
      <w:pPr>
        <w:spacing w:line="240" w:lineRule="auto"/>
        <w:jc w:val="center"/>
        <w:rPr>
          <w:rFonts w:ascii="Arial" w:hAnsi="Arial" w:cs="Arial"/>
          <w:b/>
        </w:rPr>
      </w:pPr>
      <w:r w:rsidRPr="00DE2445">
        <w:rPr>
          <w:rFonts w:ascii="Arial" w:hAnsi="Arial" w:cs="Arial"/>
          <w:b/>
        </w:rPr>
        <w:lastRenderedPageBreak/>
        <w:t>Table 3: Proportion of firms undertaking other types of innovation: 2008-10</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963"/>
        <w:gridCol w:w="964"/>
        <w:gridCol w:w="964"/>
        <w:gridCol w:w="964"/>
        <w:gridCol w:w="964"/>
      </w:tblGrid>
      <w:tr w:rsidR="00BC7D7C" w:rsidRPr="00DE2445" w:rsidTr="00DE2445">
        <w:trPr>
          <w:trHeight w:val="315"/>
        </w:trPr>
        <w:tc>
          <w:tcPr>
            <w:tcW w:w="3276" w:type="dxa"/>
            <w:shd w:val="clear" w:color="auto" w:fill="auto"/>
            <w:noWrap/>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 </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bCs/>
                <w:color w:val="000000"/>
                <w:sz w:val="18"/>
                <w:szCs w:val="18"/>
              </w:rPr>
            </w:pPr>
            <w:proofErr w:type="spellStart"/>
            <w:r w:rsidRPr="00DE2445">
              <w:rPr>
                <w:rFonts w:ascii="Arial" w:eastAsia="Times New Roman" w:hAnsi="Arial" w:cs="Arial"/>
                <w:bCs/>
                <w:color w:val="000000"/>
                <w:sz w:val="18"/>
                <w:szCs w:val="18"/>
              </w:rPr>
              <w:t>Organis</w:t>
            </w:r>
            <w:proofErr w:type="spellEnd"/>
            <w:r w:rsidRPr="00DE2445">
              <w:rPr>
                <w:rFonts w:ascii="Arial" w:eastAsia="Times New Roman" w:hAnsi="Arial" w:cs="Arial"/>
                <w:bCs/>
                <w:color w:val="000000"/>
                <w:sz w:val="18"/>
                <w:szCs w:val="18"/>
              </w:rPr>
              <w:t>-</w:t>
            </w:r>
          </w:p>
          <w:p w:rsidR="00BC7D7C" w:rsidRPr="00DE2445" w:rsidRDefault="00BC7D7C" w:rsidP="00BC7D7C">
            <w:pPr>
              <w:spacing w:after="0" w:line="240" w:lineRule="auto"/>
              <w:jc w:val="center"/>
              <w:rPr>
                <w:rFonts w:ascii="Arial" w:eastAsia="Times New Roman" w:hAnsi="Arial" w:cs="Arial"/>
                <w:bCs/>
                <w:color w:val="000000"/>
                <w:sz w:val="18"/>
                <w:szCs w:val="18"/>
              </w:rPr>
            </w:pPr>
            <w:proofErr w:type="spellStart"/>
            <w:r w:rsidRPr="00DE2445">
              <w:rPr>
                <w:rFonts w:ascii="Arial" w:eastAsia="Times New Roman" w:hAnsi="Arial" w:cs="Arial"/>
                <w:bCs/>
                <w:color w:val="000000"/>
                <w:sz w:val="18"/>
                <w:szCs w:val="18"/>
              </w:rPr>
              <w:t>ational</w:t>
            </w:r>
            <w:proofErr w:type="spellEnd"/>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bCs/>
                <w:color w:val="000000"/>
                <w:sz w:val="18"/>
                <w:szCs w:val="18"/>
              </w:rPr>
            </w:pPr>
            <w:proofErr w:type="spellStart"/>
            <w:r w:rsidRPr="00DE2445">
              <w:rPr>
                <w:rFonts w:ascii="Arial" w:eastAsia="Times New Roman" w:hAnsi="Arial" w:cs="Arial"/>
                <w:bCs/>
                <w:color w:val="000000"/>
                <w:sz w:val="18"/>
                <w:szCs w:val="18"/>
              </w:rPr>
              <w:t>Manag</w:t>
            </w:r>
            <w:proofErr w:type="spellEnd"/>
            <w:r w:rsidRPr="00DE2445">
              <w:rPr>
                <w:rFonts w:ascii="Arial" w:eastAsia="Times New Roman" w:hAnsi="Arial" w:cs="Arial"/>
                <w:bCs/>
                <w:color w:val="000000"/>
                <w:sz w:val="18"/>
                <w:szCs w:val="18"/>
              </w:rPr>
              <w:t>-</w:t>
            </w:r>
          </w:p>
          <w:p w:rsidR="00BC7D7C" w:rsidRPr="00DE2445" w:rsidRDefault="00BC7D7C" w:rsidP="00BC7D7C">
            <w:pPr>
              <w:spacing w:after="0" w:line="240" w:lineRule="auto"/>
              <w:jc w:val="center"/>
              <w:rPr>
                <w:rFonts w:ascii="Arial" w:eastAsia="Times New Roman" w:hAnsi="Arial" w:cs="Arial"/>
                <w:bCs/>
                <w:color w:val="000000"/>
                <w:sz w:val="18"/>
                <w:szCs w:val="18"/>
              </w:rPr>
            </w:pPr>
            <w:proofErr w:type="spellStart"/>
            <w:r w:rsidRPr="00DE2445">
              <w:rPr>
                <w:rFonts w:ascii="Arial" w:eastAsia="Times New Roman" w:hAnsi="Arial" w:cs="Arial"/>
                <w:bCs/>
                <w:color w:val="000000"/>
                <w:sz w:val="18"/>
                <w:szCs w:val="18"/>
              </w:rPr>
              <w:t>erial</w:t>
            </w:r>
            <w:proofErr w:type="spellEnd"/>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bCs/>
                <w:color w:val="000000"/>
                <w:sz w:val="18"/>
                <w:szCs w:val="18"/>
              </w:rPr>
            </w:pPr>
            <w:r w:rsidRPr="00DE2445">
              <w:rPr>
                <w:rFonts w:ascii="Arial" w:eastAsia="Times New Roman" w:hAnsi="Arial" w:cs="Arial"/>
                <w:bCs/>
                <w:color w:val="000000"/>
                <w:sz w:val="18"/>
                <w:szCs w:val="18"/>
              </w:rPr>
              <w:t>Strat-</w:t>
            </w:r>
          </w:p>
          <w:p w:rsidR="00BC7D7C" w:rsidRPr="00DE2445" w:rsidRDefault="00BC7D7C" w:rsidP="00BC7D7C">
            <w:pPr>
              <w:spacing w:after="0" w:line="240" w:lineRule="auto"/>
              <w:jc w:val="center"/>
              <w:rPr>
                <w:rFonts w:ascii="Arial" w:eastAsia="Times New Roman" w:hAnsi="Arial" w:cs="Arial"/>
                <w:bCs/>
                <w:color w:val="000000"/>
                <w:sz w:val="18"/>
                <w:szCs w:val="18"/>
              </w:rPr>
            </w:pPr>
            <w:proofErr w:type="spellStart"/>
            <w:r w:rsidRPr="00DE2445">
              <w:rPr>
                <w:rFonts w:ascii="Arial" w:eastAsia="Times New Roman" w:hAnsi="Arial" w:cs="Arial"/>
                <w:bCs/>
                <w:color w:val="000000"/>
                <w:sz w:val="18"/>
                <w:szCs w:val="18"/>
              </w:rPr>
              <w:t>egic</w:t>
            </w:r>
            <w:proofErr w:type="spellEnd"/>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bCs/>
                <w:color w:val="000000"/>
                <w:sz w:val="18"/>
                <w:szCs w:val="18"/>
              </w:rPr>
            </w:pPr>
            <w:r w:rsidRPr="00DE2445">
              <w:rPr>
                <w:rFonts w:ascii="Arial" w:eastAsia="Times New Roman" w:hAnsi="Arial" w:cs="Arial"/>
                <w:bCs/>
                <w:color w:val="000000"/>
                <w:sz w:val="18"/>
                <w:szCs w:val="18"/>
              </w:rPr>
              <w:t>Mark-</w:t>
            </w:r>
          </w:p>
          <w:p w:rsidR="00BC7D7C" w:rsidRPr="00DE2445" w:rsidRDefault="00BC7D7C" w:rsidP="00BC7D7C">
            <w:pPr>
              <w:spacing w:after="0" w:line="240" w:lineRule="auto"/>
              <w:jc w:val="center"/>
              <w:rPr>
                <w:rFonts w:ascii="Arial" w:eastAsia="Times New Roman" w:hAnsi="Arial" w:cs="Arial"/>
                <w:bCs/>
                <w:color w:val="000000"/>
                <w:sz w:val="18"/>
                <w:szCs w:val="18"/>
              </w:rPr>
            </w:pPr>
            <w:proofErr w:type="spellStart"/>
            <w:r w:rsidRPr="00DE2445">
              <w:rPr>
                <w:rFonts w:ascii="Arial" w:eastAsia="Times New Roman" w:hAnsi="Arial" w:cs="Arial"/>
                <w:bCs/>
                <w:color w:val="000000"/>
                <w:sz w:val="18"/>
                <w:szCs w:val="18"/>
              </w:rPr>
              <w:t>eting</w:t>
            </w:r>
            <w:proofErr w:type="spellEnd"/>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bCs/>
                <w:color w:val="000000"/>
                <w:sz w:val="18"/>
                <w:szCs w:val="18"/>
              </w:rPr>
            </w:pPr>
            <w:proofErr w:type="spellStart"/>
            <w:r w:rsidRPr="00DE2445">
              <w:rPr>
                <w:rFonts w:ascii="Arial" w:eastAsia="Times New Roman" w:hAnsi="Arial" w:cs="Arial"/>
                <w:bCs/>
                <w:color w:val="000000"/>
                <w:sz w:val="18"/>
                <w:szCs w:val="18"/>
              </w:rPr>
              <w:t>Avg</w:t>
            </w:r>
            <w:proofErr w:type="spellEnd"/>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Cornwall and Isles of Scilly</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44</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37</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Tees Valley</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40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35</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South East Midlands</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44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19</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32</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32</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Dorset</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27</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30</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Swindon and Wiltshire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29</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32</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28</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Liverpool City Region</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27</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Cheshire and Warrington</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29</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17</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29</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27</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Hertfordshire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33</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27</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Black Country</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27</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36</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26</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Northamptonshire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26</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Coast to Capital</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30</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26</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Solent</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29</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35</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26</w:t>
            </w:r>
          </w:p>
        </w:tc>
      </w:tr>
      <w:tr w:rsidR="00BC7D7C" w:rsidRPr="00DE2445" w:rsidTr="00DE2445">
        <w:trPr>
          <w:trHeight w:val="227"/>
        </w:trPr>
        <w:tc>
          <w:tcPr>
            <w:tcW w:w="3276" w:type="dxa"/>
            <w:shd w:val="clear" w:color="auto" w:fill="auto"/>
            <w:noWrap/>
            <w:vAlign w:val="center"/>
            <w:hideMark/>
          </w:tcPr>
          <w:p w:rsidR="00BC7D7C" w:rsidRPr="00DE2445" w:rsidRDefault="00DE2445" w:rsidP="00BC7D7C">
            <w:pPr>
              <w:spacing w:after="0" w:line="240" w:lineRule="auto"/>
              <w:rPr>
                <w:rFonts w:ascii="Arial" w:eastAsia="Times New Roman" w:hAnsi="Arial" w:cs="Arial"/>
                <w:color w:val="000000"/>
              </w:rPr>
            </w:pPr>
            <w:r>
              <w:rPr>
                <w:rFonts w:ascii="Arial" w:eastAsia="Times New Roman" w:hAnsi="Arial" w:cs="Arial"/>
                <w:color w:val="000000"/>
              </w:rPr>
              <w:t>Bucks</w:t>
            </w:r>
            <w:r w:rsidR="00BC7D7C" w:rsidRPr="00DE2445">
              <w:rPr>
                <w:rFonts w:ascii="Arial" w:eastAsia="Times New Roman" w:hAnsi="Arial" w:cs="Arial"/>
                <w:color w:val="000000"/>
              </w:rPr>
              <w:t xml:space="preserve"> Thames Valley</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27</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29</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26</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The Marches</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25</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York, North Yorkshire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25</w:t>
            </w:r>
          </w:p>
        </w:tc>
      </w:tr>
      <w:tr w:rsidR="00BC7D7C" w:rsidRPr="00DE2445" w:rsidTr="00DE2445">
        <w:trPr>
          <w:trHeight w:val="227"/>
        </w:trPr>
        <w:tc>
          <w:tcPr>
            <w:tcW w:w="3276" w:type="dxa"/>
            <w:shd w:val="clear" w:color="auto" w:fill="auto"/>
            <w:noWrap/>
            <w:vAlign w:val="center"/>
            <w:hideMark/>
          </w:tcPr>
          <w:p w:rsidR="00BC7D7C" w:rsidRPr="00DE2445" w:rsidRDefault="00DE2445" w:rsidP="00DE2445">
            <w:pPr>
              <w:spacing w:after="0" w:line="240" w:lineRule="auto"/>
              <w:rPr>
                <w:rFonts w:ascii="Arial" w:eastAsia="Times New Roman" w:hAnsi="Arial" w:cs="Arial"/>
                <w:color w:val="000000"/>
              </w:rPr>
            </w:pPr>
            <w:r>
              <w:rPr>
                <w:rFonts w:ascii="Arial" w:eastAsia="Times New Roman" w:hAnsi="Arial" w:cs="Arial"/>
                <w:color w:val="000000"/>
              </w:rPr>
              <w:t>Derby, Derby</w:t>
            </w:r>
            <w:r w:rsidR="00BC7D7C" w:rsidRPr="00DE2445">
              <w:rPr>
                <w:rFonts w:ascii="Arial" w:eastAsia="Times New Roman" w:hAnsi="Arial" w:cs="Arial"/>
                <w:color w:val="000000"/>
              </w:rPr>
              <w:t>shire, Nottingham and Nott</w:t>
            </w:r>
            <w:r>
              <w:rPr>
                <w:rFonts w:ascii="Arial" w:eastAsia="Times New Roman" w:hAnsi="Arial" w:cs="Arial"/>
                <w:color w:val="000000"/>
              </w:rPr>
              <w:t>s.</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25</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Enterprise M3</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25</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Thames Valley Berkshire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27</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25</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West of England</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25</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Leicester and Leicestershire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27</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Oxfordshire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36</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London</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29</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North Eastern</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29</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Heart of the South West</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33</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South East</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24</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Worcestershire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21</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23</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Greater Cambridge Greater Peterborough</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30</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23</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Greater Manchester</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30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23</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Sheffield City Region</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20</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22</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Lancashire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22</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Coventry and Warwickshire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28</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21</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22</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Cumbria</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21</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Gloucestershire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27</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21</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21</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Humber</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24</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20</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18</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21</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Greater Lincolnshire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17</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22</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20</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Greater Birmingham and Solihull</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11</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20</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20</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Leeds City Region</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9</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19</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20</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Stoke-on-Trent and Staffordshire</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15</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17</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20</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17</w:t>
            </w: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New Anglia</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17</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22</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7</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19</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16</w:t>
            </w:r>
          </w:p>
        </w:tc>
      </w:tr>
      <w:tr w:rsidR="00BC7D7C" w:rsidRPr="00DE2445" w:rsidTr="00DE2445">
        <w:trPr>
          <w:trHeight w:val="227"/>
        </w:trPr>
        <w:tc>
          <w:tcPr>
            <w:tcW w:w="3276" w:type="dxa"/>
            <w:shd w:val="clear" w:color="auto" w:fill="auto"/>
            <w:noWrap/>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 </w:t>
            </w:r>
          </w:p>
        </w:tc>
        <w:tc>
          <w:tcPr>
            <w:tcW w:w="963" w:type="dxa"/>
            <w:shd w:val="clear" w:color="auto" w:fill="auto"/>
            <w:noWrap/>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 </w:t>
            </w:r>
          </w:p>
        </w:tc>
        <w:tc>
          <w:tcPr>
            <w:tcW w:w="964" w:type="dxa"/>
            <w:shd w:val="clear" w:color="auto" w:fill="auto"/>
            <w:noWrap/>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 </w:t>
            </w:r>
          </w:p>
        </w:tc>
        <w:tc>
          <w:tcPr>
            <w:tcW w:w="964" w:type="dxa"/>
            <w:shd w:val="clear" w:color="auto" w:fill="auto"/>
            <w:noWrap/>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 </w:t>
            </w:r>
          </w:p>
        </w:tc>
        <w:tc>
          <w:tcPr>
            <w:tcW w:w="964" w:type="dxa"/>
            <w:shd w:val="clear" w:color="auto" w:fill="auto"/>
            <w:noWrap/>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 </w:t>
            </w:r>
          </w:p>
        </w:tc>
        <w:tc>
          <w:tcPr>
            <w:tcW w:w="964" w:type="dxa"/>
            <w:shd w:val="clear" w:color="auto" w:fill="auto"/>
            <w:noWrap/>
            <w:vAlign w:val="bottom"/>
            <w:hideMark/>
          </w:tcPr>
          <w:p w:rsidR="00BC7D7C" w:rsidRPr="00DE2445" w:rsidRDefault="00BC7D7C" w:rsidP="00BC7D7C">
            <w:pPr>
              <w:spacing w:after="0" w:line="240" w:lineRule="auto"/>
              <w:rPr>
                <w:rFonts w:ascii="Arial" w:eastAsia="Times New Roman" w:hAnsi="Arial" w:cs="Arial"/>
                <w:color w:val="000000"/>
              </w:rPr>
            </w:pPr>
          </w:p>
        </w:tc>
      </w:tr>
      <w:tr w:rsidR="00BC7D7C" w:rsidRPr="00DE2445" w:rsidTr="00DE2445">
        <w:trPr>
          <w:trHeight w:val="227"/>
        </w:trPr>
        <w:tc>
          <w:tcPr>
            <w:tcW w:w="3276" w:type="dxa"/>
            <w:shd w:val="clear" w:color="auto" w:fill="auto"/>
            <w:noWrap/>
            <w:vAlign w:val="center"/>
            <w:hideMark/>
          </w:tcPr>
          <w:p w:rsidR="00BC7D7C" w:rsidRPr="00DE2445" w:rsidRDefault="00BC7D7C" w:rsidP="00BC7D7C">
            <w:pPr>
              <w:spacing w:after="0" w:line="240" w:lineRule="auto"/>
              <w:rPr>
                <w:rFonts w:ascii="Arial" w:eastAsia="Times New Roman" w:hAnsi="Arial" w:cs="Arial"/>
                <w:color w:val="000000"/>
              </w:rPr>
            </w:pPr>
            <w:r w:rsidRPr="00DE2445">
              <w:rPr>
                <w:rFonts w:ascii="Arial" w:eastAsia="Times New Roman" w:hAnsi="Arial" w:cs="Arial"/>
                <w:color w:val="000000"/>
              </w:rPr>
              <w:t>Total</w:t>
            </w:r>
          </w:p>
        </w:tc>
        <w:tc>
          <w:tcPr>
            <w:tcW w:w="963"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29</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13</w:t>
            </w:r>
          </w:p>
        </w:tc>
        <w:tc>
          <w:tcPr>
            <w:tcW w:w="964" w:type="dxa"/>
            <w:shd w:val="clear" w:color="auto" w:fill="auto"/>
            <w:noWrap/>
            <w:vAlign w:val="center"/>
            <w:hideMark/>
          </w:tcPr>
          <w:p w:rsidR="00BC7D7C" w:rsidRPr="00DE2445" w:rsidRDefault="00BC7D7C" w:rsidP="00BC7D7C">
            <w:pPr>
              <w:spacing w:after="0" w:line="240" w:lineRule="auto"/>
              <w:jc w:val="center"/>
              <w:rPr>
                <w:rFonts w:ascii="Arial" w:eastAsia="Times New Roman" w:hAnsi="Arial" w:cs="Arial"/>
                <w:color w:val="000000"/>
              </w:rPr>
            </w:pPr>
            <w:r w:rsidRPr="00DE2445">
              <w:rPr>
                <w:rFonts w:ascii="Arial" w:eastAsia="Times New Roman" w:hAnsi="Arial" w:cs="Arial"/>
                <w:color w:val="000000"/>
              </w:rPr>
              <w:t>26</w:t>
            </w:r>
          </w:p>
        </w:tc>
        <w:tc>
          <w:tcPr>
            <w:tcW w:w="964" w:type="dxa"/>
            <w:shd w:val="clear" w:color="auto" w:fill="auto"/>
            <w:noWrap/>
            <w:vAlign w:val="bottom"/>
            <w:hideMark/>
          </w:tcPr>
          <w:p w:rsidR="00BC7D7C" w:rsidRPr="00DE2445" w:rsidRDefault="00BC7D7C" w:rsidP="00BC7D7C">
            <w:pPr>
              <w:spacing w:after="0" w:line="240" w:lineRule="auto"/>
              <w:jc w:val="right"/>
              <w:rPr>
                <w:rFonts w:ascii="Arial" w:eastAsia="Times New Roman" w:hAnsi="Arial" w:cs="Arial"/>
                <w:color w:val="000000"/>
              </w:rPr>
            </w:pPr>
            <w:r w:rsidRPr="00DE2445">
              <w:rPr>
                <w:rFonts w:ascii="Arial" w:eastAsia="Times New Roman" w:hAnsi="Arial" w:cs="Arial"/>
                <w:color w:val="000000"/>
              </w:rPr>
              <w:t>24</w:t>
            </w:r>
          </w:p>
        </w:tc>
      </w:tr>
    </w:tbl>
    <w:p w:rsidR="00BC7D7C" w:rsidRPr="00DE2445" w:rsidRDefault="00BC7D7C" w:rsidP="00BC7D7C">
      <w:pPr>
        <w:spacing w:line="240" w:lineRule="auto"/>
        <w:jc w:val="center"/>
        <w:rPr>
          <w:rFonts w:ascii="Arial" w:hAnsi="Arial" w:cs="Arial"/>
        </w:rPr>
      </w:pPr>
      <w:r w:rsidRPr="00DE2445">
        <w:rPr>
          <w:rFonts w:ascii="Arial" w:hAnsi="Arial" w:cs="Arial"/>
          <w:b/>
        </w:rPr>
        <w:t>Notes:</w:t>
      </w:r>
      <w:r w:rsidRPr="00DE2445">
        <w:rPr>
          <w:rFonts w:ascii="Arial" w:hAnsi="Arial" w:cs="Arial"/>
        </w:rPr>
        <w:t xml:space="preserve"> Responses are weighted. ‘*’ indicates data supressed due to small number of observations</w:t>
      </w:r>
    </w:p>
    <w:p w:rsidR="00BC7D7C" w:rsidRPr="00DE2445" w:rsidRDefault="00BC7D7C" w:rsidP="00BC7D7C">
      <w:pPr>
        <w:spacing w:line="240" w:lineRule="auto"/>
        <w:jc w:val="center"/>
        <w:rPr>
          <w:rFonts w:ascii="Arial" w:hAnsi="Arial" w:cs="Arial"/>
        </w:rPr>
      </w:pPr>
    </w:p>
    <w:p w:rsidR="00844FD4" w:rsidRPr="00DE2445" w:rsidRDefault="00844FD4" w:rsidP="00844FD4">
      <w:pPr>
        <w:rPr>
          <w:rFonts w:ascii="Arial" w:hAnsi="Arial" w:cs="Arial"/>
          <w:b/>
        </w:rPr>
      </w:pPr>
      <w:r w:rsidRPr="00DE2445">
        <w:rPr>
          <w:rFonts w:ascii="Arial" w:hAnsi="Arial" w:cs="Arial"/>
          <w:b/>
        </w:rPr>
        <w:t>Annex 1: Methodological notes Innovation indicators by Local Area</w:t>
      </w:r>
    </w:p>
    <w:p w:rsidR="00C857ED" w:rsidRDefault="00844FD4" w:rsidP="00844FD4">
      <w:pPr>
        <w:spacing w:line="240" w:lineRule="auto"/>
        <w:jc w:val="both"/>
        <w:rPr>
          <w:rFonts w:ascii="Arial" w:hAnsi="Arial" w:cs="Arial"/>
        </w:rPr>
      </w:pPr>
      <w:r w:rsidRPr="00DE2445">
        <w:rPr>
          <w:rFonts w:ascii="Arial" w:hAnsi="Arial" w:cs="Arial"/>
        </w:rPr>
        <w:t xml:space="preserve">The aim of the data analysis undertaken here is to explore what can be learnt about innovation at the level of individual LEAs using data from the UK Innovation Survey (UKIS) waves 4 to 7 covering the periods 2002-04, 2004-06, 2006-08 and 2008-10. </w:t>
      </w:r>
      <w:r w:rsidR="00C857ED">
        <w:rPr>
          <w:rFonts w:ascii="Arial" w:hAnsi="Arial" w:cs="Arial"/>
        </w:rPr>
        <w:t>Sample sizes and response rates for these surveys were as follows:</w:t>
      </w:r>
    </w:p>
    <w:p w:rsidR="00C857ED" w:rsidRPr="003C07E3" w:rsidRDefault="003C07E3" w:rsidP="003C07E3">
      <w:pPr>
        <w:pStyle w:val="ListParagraph"/>
        <w:numPr>
          <w:ilvl w:val="0"/>
          <w:numId w:val="5"/>
        </w:numPr>
        <w:spacing w:line="240" w:lineRule="auto"/>
        <w:jc w:val="both"/>
        <w:rPr>
          <w:rFonts w:ascii="Arial" w:hAnsi="Arial" w:cs="Arial"/>
        </w:rPr>
      </w:pPr>
      <w:r w:rsidRPr="003C07E3">
        <w:rPr>
          <w:rFonts w:ascii="Arial" w:hAnsi="Arial" w:cs="Arial"/>
        </w:rPr>
        <w:t xml:space="preserve">The UKIS 2005 </w:t>
      </w:r>
      <w:r>
        <w:rPr>
          <w:rFonts w:ascii="Arial" w:hAnsi="Arial" w:cs="Arial"/>
        </w:rPr>
        <w:t xml:space="preserve">relating to the 2002-04 period </w:t>
      </w:r>
      <w:r w:rsidRPr="003C07E3">
        <w:rPr>
          <w:rFonts w:ascii="Arial" w:hAnsi="Arial" w:cs="Arial"/>
        </w:rPr>
        <w:t>covered 28,000 firms and achieved a 58 per cent response rate.</w:t>
      </w:r>
    </w:p>
    <w:p w:rsidR="00C857ED" w:rsidRPr="003C07E3" w:rsidRDefault="003C07E3" w:rsidP="003C07E3">
      <w:pPr>
        <w:pStyle w:val="ListParagraph"/>
        <w:numPr>
          <w:ilvl w:val="0"/>
          <w:numId w:val="5"/>
        </w:numPr>
        <w:spacing w:line="240" w:lineRule="auto"/>
        <w:jc w:val="both"/>
        <w:rPr>
          <w:rFonts w:ascii="Arial" w:hAnsi="Arial" w:cs="Arial"/>
        </w:rPr>
      </w:pPr>
      <w:r w:rsidRPr="003C07E3">
        <w:rPr>
          <w:rFonts w:ascii="Arial" w:hAnsi="Arial" w:cs="Arial"/>
        </w:rPr>
        <w:t xml:space="preserve">The UKIS 2007 covering the period 2004-06 surveyed 28,000 companies and received a response rate of 53 per cent or 14,872 valid returns. </w:t>
      </w:r>
    </w:p>
    <w:p w:rsidR="00C857ED" w:rsidRPr="003C07E3" w:rsidRDefault="003C07E3" w:rsidP="003C07E3">
      <w:pPr>
        <w:pStyle w:val="ListParagraph"/>
        <w:numPr>
          <w:ilvl w:val="0"/>
          <w:numId w:val="5"/>
        </w:numPr>
        <w:spacing w:line="240" w:lineRule="auto"/>
        <w:jc w:val="both"/>
        <w:rPr>
          <w:rFonts w:ascii="Arial" w:hAnsi="Arial" w:cs="Arial"/>
        </w:rPr>
      </w:pPr>
      <w:r w:rsidRPr="003C07E3">
        <w:rPr>
          <w:rFonts w:ascii="Arial" w:hAnsi="Arial" w:cs="Arial"/>
        </w:rPr>
        <w:t xml:space="preserve">The UKIS 2009 sampled over 28,000 companies and received responses from 14,218 businesses, a response rate of over 50 per cent. </w:t>
      </w:r>
    </w:p>
    <w:p w:rsidR="00C857ED" w:rsidRPr="003C07E3" w:rsidRDefault="00C857ED" w:rsidP="003C07E3">
      <w:pPr>
        <w:pStyle w:val="ListParagraph"/>
        <w:numPr>
          <w:ilvl w:val="0"/>
          <w:numId w:val="5"/>
        </w:numPr>
        <w:spacing w:line="240" w:lineRule="auto"/>
        <w:jc w:val="both"/>
        <w:rPr>
          <w:rFonts w:ascii="Arial" w:hAnsi="Arial" w:cs="Arial"/>
        </w:rPr>
      </w:pPr>
      <w:r w:rsidRPr="003C07E3">
        <w:rPr>
          <w:rFonts w:ascii="Arial" w:hAnsi="Arial" w:cs="Arial"/>
        </w:rPr>
        <w:t xml:space="preserve">The UK Innovation Survey 2011 covering the period 2008-10 received responses from 14,342 firms, a response rate of over 50 per cent. </w:t>
      </w:r>
    </w:p>
    <w:p w:rsidR="00844FD4" w:rsidRPr="00DE2445" w:rsidRDefault="00844FD4" w:rsidP="00844FD4">
      <w:pPr>
        <w:spacing w:line="240" w:lineRule="auto"/>
        <w:jc w:val="both"/>
        <w:rPr>
          <w:rFonts w:ascii="Arial" w:hAnsi="Arial" w:cs="Arial"/>
        </w:rPr>
      </w:pPr>
      <w:r w:rsidRPr="00DE2445">
        <w:rPr>
          <w:rFonts w:ascii="Arial" w:hAnsi="Arial" w:cs="Arial"/>
        </w:rPr>
        <w:t>This is secondary analysis – using the survey for a purpose for which it was not originally intended – and the results must therefore be considered in this light. In particular, the UKIS was originally structured to be representative of Government Office regions in England (rather than LEAs). We are therefore extending the use of the data beyond its original design in undertaking this analysis. Having said this, it turns out that (</w:t>
      </w:r>
      <w:proofErr w:type="spellStart"/>
      <w:r w:rsidRPr="00DE2445">
        <w:rPr>
          <w:rFonts w:ascii="Arial" w:hAnsi="Arial" w:cs="Arial"/>
        </w:rPr>
        <w:t>unweighted</w:t>
      </w:r>
      <w:proofErr w:type="spellEnd"/>
      <w:r w:rsidRPr="00DE2445">
        <w:rPr>
          <w:rFonts w:ascii="Arial" w:hAnsi="Arial" w:cs="Arial"/>
        </w:rPr>
        <w:t>) observation numbers for most LEAs (exc</w:t>
      </w:r>
      <w:r w:rsidR="00E72E43" w:rsidRPr="00DE2445">
        <w:rPr>
          <w:rFonts w:ascii="Arial" w:hAnsi="Arial" w:cs="Arial"/>
        </w:rPr>
        <w:t>ept some of the smaller rural</w:t>
      </w:r>
      <w:r w:rsidRPr="00DE2445">
        <w:rPr>
          <w:rFonts w:ascii="Arial" w:hAnsi="Arial" w:cs="Arial"/>
        </w:rPr>
        <w:t xml:space="preserve"> LEAs) are reasonable and that results tend to be consistent across waves of the UKIS. Both suggest a degree of confidence in the analysis. </w:t>
      </w:r>
    </w:p>
    <w:p w:rsidR="00844FD4" w:rsidRPr="00DE2445" w:rsidRDefault="00844FD4" w:rsidP="00844FD4">
      <w:pPr>
        <w:spacing w:line="240" w:lineRule="auto"/>
        <w:jc w:val="both"/>
        <w:rPr>
          <w:rFonts w:ascii="Arial" w:hAnsi="Arial" w:cs="Arial"/>
        </w:rPr>
      </w:pPr>
      <w:r w:rsidRPr="00DE2445">
        <w:rPr>
          <w:rFonts w:ascii="Arial" w:hAnsi="Arial" w:cs="Arial"/>
        </w:rPr>
        <w:t xml:space="preserve">Note also that before release for publication, data have also been checked for ‘disclosure’, i.e. the ability of an interested party to identify any individual business from published data. This results in a small number of results which are unavailable particularly for rural LEAs where the number of observations is relatively small. </w:t>
      </w:r>
    </w:p>
    <w:p w:rsidR="00844FD4" w:rsidRPr="00DE2445" w:rsidRDefault="00844FD4" w:rsidP="00E72E43">
      <w:pPr>
        <w:spacing w:line="240" w:lineRule="auto"/>
        <w:jc w:val="both"/>
        <w:rPr>
          <w:rFonts w:ascii="Arial" w:hAnsi="Arial" w:cs="Arial"/>
          <w:b/>
          <w:color w:val="FF0000"/>
        </w:rPr>
      </w:pPr>
      <w:r w:rsidRPr="00DE2445">
        <w:rPr>
          <w:rFonts w:ascii="Arial" w:hAnsi="Arial" w:cs="Arial"/>
        </w:rPr>
        <w:t xml:space="preserve">Innovation data is taken from various waves of the UK Innovation Survey. Each observation in these datasets has a common reference number which allows it to be linked anonymously to other government surveys. Using these common reference numbers, UKIS observations have been matched (within a secure data environment - the Secure Data Service) with postcode data mainly derived from another data set called the Business Structures Database. </w:t>
      </w:r>
      <w:r w:rsidR="00E72E43" w:rsidRPr="00DE2445">
        <w:rPr>
          <w:rFonts w:ascii="Arial" w:hAnsi="Arial" w:cs="Arial"/>
        </w:rPr>
        <w:t xml:space="preserve">This is possible where firms are single plants. In the relatively small number of cases where multi-plants are recorded we match using BERD data. </w:t>
      </w:r>
      <w:r w:rsidRPr="00DE2445">
        <w:rPr>
          <w:rFonts w:ascii="Arial" w:hAnsi="Arial" w:cs="Arial"/>
        </w:rPr>
        <w:t xml:space="preserve">Postcodes are then matched into Local District Authorities and these are matched into LEAs to provide the LEA indicators </w:t>
      </w:r>
      <w:r w:rsidR="00E72E43" w:rsidRPr="00DE2445">
        <w:rPr>
          <w:rFonts w:ascii="Arial" w:hAnsi="Arial" w:cs="Arial"/>
        </w:rPr>
        <w:t>reported here.</w:t>
      </w:r>
      <w:r w:rsidRPr="00DE2445">
        <w:rPr>
          <w:rFonts w:ascii="Arial" w:hAnsi="Arial" w:cs="Arial"/>
        </w:rPr>
        <w:t xml:space="preserve"> </w:t>
      </w:r>
    </w:p>
    <w:p w:rsidR="00844FD4" w:rsidRPr="00DE2445" w:rsidRDefault="00844FD4" w:rsidP="00844FD4">
      <w:pPr>
        <w:spacing w:line="240" w:lineRule="auto"/>
        <w:jc w:val="both"/>
        <w:rPr>
          <w:rFonts w:ascii="Arial" w:hAnsi="Arial" w:cs="Arial"/>
        </w:rPr>
      </w:pPr>
      <w:r w:rsidRPr="00DE2445">
        <w:rPr>
          <w:rFonts w:ascii="Arial" w:hAnsi="Arial" w:cs="Arial"/>
        </w:rPr>
        <w:t>In this annex, and in the graphics in the main text, we make use of the standard 5% confidence interval for a binary outcome variable (a ‘yes’ or ‘no’ survey response). This is calculated as:</w:t>
      </w:r>
    </w:p>
    <w:p w:rsidR="00844FD4" w:rsidRPr="00DE2445" w:rsidRDefault="00E72E43" w:rsidP="00844FD4">
      <w:pPr>
        <w:spacing w:line="240" w:lineRule="auto"/>
        <w:jc w:val="both"/>
        <w:rPr>
          <w:rFonts w:ascii="Arial" w:hAnsi="Arial" w:cs="Arial"/>
        </w:rPr>
      </w:pPr>
      <m:oMathPara>
        <m:oMath>
          <m:r>
            <w:rPr>
              <w:rFonts w:ascii="Cambria Math" w:hAnsi="Cambria Math" w:cs="Arial"/>
            </w:rPr>
            <m:t>±1.96√</m:t>
          </m:r>
          <m:f>
            <m:fPr>
              <m:ctrlPr>
                <w:rPr>
                  <w:rFonts w:ascii="Cambria Math" w:hAnsi="Cambria Math" w:cs="Arial"/>
                  <w:i/>
                </w:rPr>
              </m:ctrlPr>
            </m:fPr>
            <m:num>
              <m:r>
                <w:rPr>
                  <w:rFonts w:ascii="Cambria Math" w:hAnsi="Cambria Math" w:cs="Arial"/>
                </w:rPr>
                <m:t>p(1-p)</m:t>
              </m:r>
            </m:num>
            <m:den>
              <m:r>
                <w:rPr>
                  <w:rFonts w:ascii="Cambria Math" w:hAnsi="Cambria Math" w:cs="Arial"/>
                </w:rPr>
                <m:t>n</m:t>
              </m:r>
            </m:den>
          </m:f>
        </m:oMath>
      </m:oMathPara>
    </w:p>
    <w:p w:rsidR="00844FD4" w:rsidRPr="00DE2445" w:rsidRDefault="00844FD4" w:rsidP="00844FD4">
      <w:pPr>
        <w:spacing w:line="240" w:lineRule="auto"/>
        <w:jc w:val="both"/>
        <w:rPr>
          <w:rFonts w:ascii="Arial" w:hAnsi="Arial" w:cs="Arial"/>
        </w:rPr>
      </w:pPr>
      <w:r w:rsidRPr="00DE2445">
        <w:rPr>
          <w:rFonts w:ascii="Arial" w:hAnsi="Arial" w:cs="Arial"/>
        </w:rPr>
        <w:t>Where p is the proportion of responden</w:t>
      </w:r>
      <w:r w:rsidR="00E72E43" w:rsidRPr="00DE2445">
        <w:rPr>
          <w:rFonts w:ascii="Arial" w:hAnsi="Arial" w:cs="Arial"/>
        </w:rPr>
        <w:t>ts saying ‘yes’ in any given LEA</w:t>
      </w:r>
      <w:r w:rsidRPr="00DE2445">
        <w:rPr>
          <w:rFonts w:ascii="Arial" w:hAnsi="Arial" w:cs="Arial"/>
        </w:rPr>
        <w:t xml:space="preserve"> and n is the n</w:t>
      </w:r>
      <w:r w:rsidR="00E72E43" w:rsidRPr="00DE2445">
        <w:rPr>
          <w:rFonts w:ascii="Arial" w:hAnsi="Arial" w:cs="Arial"/>
        </w:rPr>
        <w:t>umber of observations in any LEA</w:t>
      </w:r>
      <w:r w:rsidRPr="00DE2445">
        <w:rPr>
          <w:rFonts w:ascii="Arial" w:hAnsi="Arial" w:cs="Arial"/>
        </w:rPr>
        <w:t xml:space="preserve">. </w:t>
      </w:r>
    </w:p>
    <w:p w:rsidR="003C07E3" w:rsidRDefault="003C07E3" w:rsidP="00DE2445">
      <w:pPr>
        <w:pStyle w:val="PlainText"/>
        <w:rPr>
          <w:rFonts w:ascii="Arial" w:hAnsi="Arial" w:cs="Arial"/>
          <w:b/>
          <w:sz w:val="22"/>
          <w:szCs w:val="22"/>
        </w:rPr>
      </w:pPr>
    </w:p>
    <w:p w:rsidR="003C07E3" w:rsidRDefault="003C07E3" w:rsidP="00DE2445">
      <w:pPr>
        <w:pStyle w:val="PlainText"/>
        <w:rPr>
          <w:rFonts w:ascii="Arial" w:hAnsi="Arial" w:cs="Arial"/>
          <w:b/>
          <w:sz w:val="22"/>
          <w:szCs w:val="22"/>
        </w:rPr>
      </w:pPr>
    </w:p>
    <w:p w:rsidR="00DE2445" w:rsidRPr="00DE2445" w:rsidRDefault="00DE2445" w:rsidP="00DE2445">
      <w:pPr>
        <w:pStyle w:val="PlainText"/>
        <w:rPr>
          <w:rFonts w:ascii="Arial" w:hAnsi="Arial" w:cs="Arial"/>
          <w:b/>
          <w:sz w:val="22"/>
          <w:szCs w:val="22"/>
        </w:rPr>
      </w:pPr>
      <w:r w:rsidRPr="00DE2445">
        <w:rPr>
          <w:rFonts w:ascii="Arial" w:hAnsi="Arial" w:cs="Arial"/>
          <w:b/>
          <w:sz w:val="22"/>
          <w:szCs w:val="22"/>
        </w:rPr>
        <w:lastRenderedPageBreak/>
        <w:t>Data acknowledgement</w:t>
      </w:r>
    </w:p>
    <w:p w:rsidR="00DE2445" w:rsidRPr="00DE2445" w:rsidRDefault="00DE2445" w:rsidP="00DE2445">
      <w:pPr>
        <w:pStyle w:val="PlainText"/>
        <w:rPr>
          <w:rFonts w:ascii="Arial" w:hAnsi="Arial" w:cs="Arial"/>
          <w:sz w:val="22"/>
          <w:szCs w:val="22"/>
        </w:rPr>
      </w:pPr>
    </w:p>
    <w:p w:rsidR="00DE2445" w:rsidRPr="00DE2445" w:rsidRDefault="00DE2445" w:rsidP="00DE2445">
      <w:pPr>
        <w:pStyle w:val="PlainText"/>
        <w:rPr>
          <w:rFonts w:ascii="Arial" w:hAnsi="Arial" w:cs="Arial"/>
          <w:sz w:val="22"/>
          <w:szCs w:val="22"/>
        </w:rPr>
      </w:pPr>
      <w:r w:rsidRPr="00DE2445">
        <w:rPr>
          <w:rFonts w:ascii="Arial" w:hAnsi="Arial" w:cs="Arial"/>
          <w:sz w:val="22"/>
          <w:szCs w:val="22"/>
        </w:rPr>
        <w:t xml:space="preserve">The statistical data used here is from the Office of National Statistics (ONS) and is Crown copyright and reproduced with the permission of the controller of HMSO and Queens Printer for Scotland. The use of the ONS statistical data in this work does not imply the endorsement of the ONS in relation to the interpretation or analysis of the statistical data. The analysis upon which this paper is based uses research datasets which may not exactly reproduce National Statistics aggregates. </w:t>
      </w:r>
    </w:p>
    <w:p w:rsidR="006D0FA6" w:rsidRDefault="006D0FA6" w:rsidP="006D0FA6">
      <w:pPr>
        <w:spacing w:line="240" w:lineRule="auto"/>
        <w:rPr>
          <w:rFonts w:ascii="Arial" w:hAnsi="Arial" w:cs="Arial"/>
          <w:b/>
        </w:rPr>
      </w:pPr>
    </w:p>
    <w:p w:rsidR="00844FD4" w:rsidRPr="00DE2445" w:rsidRDefault="00844FD4" w:rsidP="006D0FA6">
      <w:pPr>
        <w:rPr>
          <w:rFonts w:ascii="Arial" w:hAnsi="Arial" w:cs="Arial"/>
          <w:b/>
        </w:rPr>
      </w:pPr>
      <w:r w:rsidRPr="00DE2445">
        <w:rPr>
          <w:rFonts w:ascii="Arial" w:hAnsi="Arial" w:cs="Arial"/>
          <w:b/>
        </w:rPr>
        <w:t>Figure A1.1: Average product/service innovation performance by wave of UKIS</w:t>
      </w:r>
    </w:p>
    <w:p w:rsidR="00844FD4" w:rsidRPr="00DE2445" w:rsidRDefault="00844FD4" w:rsidP="00DE2445">
      <w:pPr>
        <w:spacing w:line="240" w:lineRule="auto"/>
        <w:jc w:val="center"/>
        <w:rPr>
          <w:rFonts w:ascii="Arial" w:hAnsi="Arial" w:cs="Arial"/>
          <w:b/>
        </w:rPr>
      </w:pPr>
      <w:r w:rsidRPr="00DE2445">
        <w:rPr>
          <w:rFonts w:ascii="Arial" w:hAnsi="Arial" w:cs="Arial"/>
          <w:b/>
          <w:noProof/>
          <w:lang w:eastAsia="en-GB"/>
        </w:rPr>
        <w:drawing>
          <wp:inline distT="0" distB="0" distL="0" distR="0">
            <wp:extent cx="4836923" cy="31623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069" cy="3175471"/>
                    </a:xfrm>
                    <a:prstGeom prst="rect">
                      <a:avLst/>
                    </a:prstGeom>
                    <a:noFill/>
                  </pic:spPr>
                </pic:pic>
              </a:graphicData>
            </a:graphic>
          </wp:inline>
        </w:drawing>
      </w:r>
    </w:p>
    <w:p w:rsidR="00844FD4" w:rsidRPr="00DE2445" w:rsidRDefault="00844FD4" w:rsidP="00844FD4">
      <w:pPr>
        <w:spacing w:line="240" w:lineRule="auto"/>
        <w:jc w:val="center"/>
        <w:rPr>
          <w:rFonts w:ascii="Arial" w:hAnsi="Arial" w:cs="Arial"/>
          <w:b/>
        </w:rPr>
      </w:pPr>
      <w:r w:rsidRPr="00DE2445">
        <w:rPr>
          <w:rFonts w:ascii="Arial" w:hAnsi="Arial" w:cs="Arial"/>
          <w:b/>
        </w:rPr>
        <w:t xml:space="preserve">Notes: Responses are weighted. </w:t>
      </w:r>
    </w:p>
    <w:p w:rsidR="006D0FA6" w:rsidRDefault="006D0FA6">
      <w:pPr>
        <w:rPr>
          <w:rFonts w:ascii="Arial" w:hAnsi="Arial" w:cs="Arial"/>
          <w:b/>
        </w:rPr>
      </w:pPr>
      <w:r>
        <w:rPr>
          <w:rFonts w:ascii="Arial" w:hAnsi="Arial" w:cs="Arial"/>
          <w:b/>
        </w:rPr>
        <w:br w:type="page"/>
      </w:r>
    </w:p>
    <w:p w:rsidR="00844FD4" w:rsidRPr="00DE2445" w:rsidRDefault="00844FD4" w:rsidP="00DE2445">
      <w:pPr>
        <w:spacing w:line="240" w:lineRule="auto"/>
        <w:jc w:val="center"/>
        <w:rPr>
          <w:rFonts w:ascii="Arial" w:hAnsi="Arial" w:cs="Arial"/>
          <w:b/>
        </w:rPr>
      </w:pPr>
      <w:r w:rsidRPr="00DE2445">
        <w:rPr>
          <w:rFonts w:ascii="Arial" w:hAnsi="Arial" w:cs="Arial"/>
          <w:b/>
        </w:rPr>
        <w:lastRenderedPageBreak/>
        <w:t>Figure A1.2: Average process innovation performance by wave of UK</w:t>
      </w:r>
    </w:p>
    <w:p w:rsidR="00844FD4" w:rsidRPr="00DE2445" w:rsidRDefault="00844FD4" w:rsidP="00DE2445">
      <w:pPr>
        <w:spacing w:line="240" w:lineRule="auto"/>
        <w:jc w:val="center"/>
        <w:rPr>
          <w:rFonts w:ascii="Arial" w:hAnsi="Arial" w:cs="Arial"/>
          <w:b/>
        </w:rPr>
      </w:pPr>
      <w:r w:rsidRPr="00DE2445">
        <w:rPr>
          <w:rFonts w:ascii="Arial" w:hAnsi="Arial" w:cs="Arial"/>
          <w:b/>
          <w:noProof/>
          <w:lang w:eastAsia="en-GB"/>
        </w:rPr>
        <w:drawing>
          <wp:inline distT="0" distB="0" distL="0" distR="0">
            <wp:extent cx="4895850" cy="3200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8374" cy="3209013"/>
                    </a:xfrm>
                    <a:prstGeom prst="rect">
                      <a:avLst/>
                    </a:prstGeom>
                    <a:noFill/>
                  </pic:spPr>
                </pic:pic>
              </a:graphicData>
            </a:graphic>
          </wp:inline>
        </w:drawing>
      </w:r>
    </w:p>
    <w:p w:rsidR="00DE2445" w:rsidRPr="00DE2445" w:rsidRDefault="00DE2445" w:rsidP="00337DC6">
      <w:pPr>
        <w:jc w:val="both"/>
        <w:rPr>
          <w:rFonts w:ascii="Arial" w:hAnsi="Arial" w:cs="Arial"/>
          <w:b/>
        </w:rPr>
      </w:pPr>
      <w:r w:rsidRPr="00DE2445">
        <w:rPr>
          <w:rFonts w:ascii="Arial" w:hAnsi="Arial" w:cs="Arial"/>
          <w:b/>
        </w:rPr>
        <w:t>Notes</w:t>
      </w:r>
    </w:p>
    <w:sectPr w:rsidR="00DE2445" w:rsidRPr="00DE2445" w:rsidSect="00F57971">
      <w:headerReference w:type="default" r:id="rId17"/>
      <w:footerReference w:type="default" r:id="rId18"/>
      <w:endnotePr>
        <w:numFmt w:val="decimal"/>
      </w:endnotePr>
      <w:pgSz w:w="11906" w:h="16838"/>
      <w:pgMar w:top="2007" w:right="1440" w:bottom="1440" w:left="20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FA" w:rsidRDefault="00D160FA" w:rsidP="003E5CC8">
      <w:pPr>
        <w:spacing w:after="0" w:line="240" w:lineRule="auto"/>
      </w:pPr>
      <w:r>
        <w:separator/>
      </w:r>
    </w:p>
  </w:endnote>
  <w:endnote w:type="continuationSeparator" w:id="0">
    <w:p w:rsidR="00D160FA" w:rsidRDefault="00D160FA" w:rsidP="003E5CC8">
      <w:pPr>
        <w:spacing w:after="0" w:line="240" w:lineRule="auto"/>
      </w:pPr>
      <w:r>
        <w:continuationSeparator/>
      </w:r>
    </w:p>
  </w:endnote>
  <w:endnote w:id="1">
    <w:p w:rsidR="003C07E3" w:rsidRDefault="003C07E3">
      <w:pPr>
        <w:pStyle w:val="EndnoteText"/>
      </w:pPr>
      <w:r>
        <w:rPr>
          <w:rStyle w:val="EndnoteReference"/>
        </w:rPr>
        <w:endnoteRef/>
      </w:r>
      <w:r>
        <w:t xml:space="preserve"> </w:t>
      </w:r>
      <w:proofErr w:type="spellStart"/>
      <w:r>
        <w:rPr>
          <w:rFonts w:ascii="Segoe UI" w:hAnsi="Segoe UI" w:cs="Segoe UI"/>
          <w:b/>
          <w:bCs/>
          <w:sz w:val="18"/>
          <w:szCs w:val="18"/>
        </w:rPr>
        <w:t>Crepon</w:t>
      </w:r>
      <w:proofErr w:type="spellEnd"/>
      <w:r>
        <w:rPr>
          <w:rFonts w:ascii="Segoe UI" w:hAnsi="Segoe UI" w:cs="Segoe UI"/>
          <w:b/>
          <w:bCs/>
          <w:sz w:val="18"/>
          <w:szCs w:val="18"/>
        </w:rPr>
        <w:t xml:space="preserve">, </w:t>
      </w:r>
      <w:proofErr w:type="gramStart"/>
      <w:r>
        <w:rPr>
          <w:rFonts w:ascii="Segoe UI" w:hAnsi="Segoe UI" w:cs="Segoe UI"/>
          <w:b/>
          <w:bCs/>
          <w:sz w:val="18"/>
          <w:szCs w:val="18"/>
        </w:rPr>
        <w:t>AD ;</w:t>
      </w:r>
      <w:proofErr w:type="gramEnd"/>
      <w:r>
        <w:rPr>
          <w:rFonts w:ascii="Segoe UI" w:hAnsi="Segoe UI" w:cs="Segoe UI"/>
          <w:b/>
          <w:bCs/>
          <w:sz w:val="18"/>
          <w:szCs w:val="18"/>
        </w:rPr>
        <w:t xml:space="preserve"> A  Hughes; P  Lee and J </w:t>
      </w:r>
      <w:proofErr w:type="spellStart"/>
      <w:r>
        <w:rPr>
          <w:rFonts w:ascii="Segoe UI" w:hAnsi="Segoe UI" w:cs="Segoe UI"/>
          <w:b/>
          <w:bCs/>
          <w:sz w:val="18"/>
          <w:szCs w:val="18"/>
        </w:rPr>
        <w:t>Mairesse</w:t>
      </w:r>
      <w:proofErr w:type="spellEnd"/>
      <w:r>
        <w:rPr>
          <w:rFonts w:ascii="Segoe UI" w:hAnsi="Segoe UI" w:cs="Segoe UI"/>
          <w:b/>
          <w:bCs/>
          <w:sz w:val="18"/>
          <w:szCs w:val="18"/>
        </w:rPr>
        <w:t>.</w:t>
      </w:r>
      <w:r>
        <w:rPr>
          <w:rFonts w:ascii="Segoe UI" w:hAnsi="Segoe UI" w:cs="Segoe UI"/>
          <w:sz w:val="18"/>
          <w:szCs w:val="18"/>
        </w:rPr>
        <w:t xml:space="preserve"> 1998. "Research, Innovation and Productivity: An Econometric Analysis at the Firm Level." </w:t>
      </w:r>
      <w:proofErr w:type="gramStart"/>
      <w:r>
        <w:rPr>
          <w:rFonts w:ascii="Segoe UI" w:hAnsi="Segoe UI" w:cs="Segoe UI"/>
          <w:i/>
          <w:iCs/>
          <w:sz w:val="18"/>
          <w:szCs w:val="18"/>
        </w:rPr>
        <w:t>Economics of Innovation and New Technology</w:t>
      </w:r>
      <w:r>
        <w:rPr>
          <w:rFonts w:ascii="Segoe UI" w:hAnsi="Segoe UI" w:cs="Segoe UI"/>
          <w:sz w:val="18"/>
          <w:szCs w:val="18"/>
        </w:rPr>
        <w:t>, 7, 115-58.</w:t>
      </w:r>
      <w:proofErr w:type="gramEnd"/>
    </w:p>
  </w:endnote>
  <w:endnote w:id="2">
    <w:p w:rsidR="003C07E3" w:rsidRDefault="003C07E3">
      <w:pPr>
        <w:pStyle w:val="EndnoteText"/>
      </w:pPr>
      <w:r>
        <w:rPr>
          <w:rStyle w:val="EndnoteReference"/>
        </w:rPr>
        <w:endnoteRef/>
      </w:r>
      <w:r>
        <w:t xml:space="preserve"> </w:t>
      </w:r>
      <w:proofErr w:type="gramStart"/>
      <w:r>
        <w:rPr>
          <w:rFonts w:ascii="Segoe UI" w:hAnsi="Segoe UI" w:cs="Segoe UI"/>
          <w:b/>
          <w:bCs/>
          <w:sz w:val="18"/>
          <w:szCs w:val="18"/>
        </w:rPr>
        <w:t xml:space="preserve">Roper, Stephen; </w:t>
      </w:r>
      <w:proofErr w:type="spellStart"/>
      <w:r>
        <w:rPr>
          <w:rFonts w:ascii="Segoe UI" w:hAnsi="Segoe UI" w:cs="Segoe UI"/>
          <w:b/>
          <w:bCs/>
          <w:sz w:val="18"/>
          <w:szCs w:val="18"/>
        </w:rPr>
        <w:t>Priit</w:t>
      </w:r>
      <w:proofErr w:type="spellEnd"/>
      <w:r>
        <w:rPr>
          <w:rFonts w:ascii="Segoe UI" w:hAnsi="Segoe UI" w:cs="Segoe UI"/>
          <w:b/>
          <w:bCs/>
          <w:sz w:val="18"/>
          <w:szCs w:val="18"/>
        </w:rPr>
        <w:t xml:space="preserve"> </w:t>
      </w:r>
      <w:proofErr w:type="spellStart"/>
      <w:r>
        <w:rPr>
          <w:rFonts w:ascii="Segoe UI" w:hAnsi="Segoe UI" w:cs="Segoe UI"/>
          <w:b/>
          <w:bCs/>
          <w:sz w:val="18"/>
          <w:szCs w:val="18"/>
        </w:rPr>
        <w:t>Vahter</w:t>
      </w:r>
      <w:proofErr w:type="spellEnd"/>
      <w:r>
        <w:rPr>
          <w:rFonts w:ascii="Segoe UI" w:hAnsi="Segoe UI" w:cs="Segoe UI"/>
          <w:b/>
          <w:bCs/>
          <w:sz w:val="18"/>
          <w:szCs w:val="18"/>
        </w:rPr>
        <w:t xml:space="preserve"> and James H. Love.</w:t>
      </w:r>
      <w:proofErr w:type="gramEnd"/>
      <w:r>
        <w:rPr>
          <w:rFonts w:ascii="Segoe UI" w:hAnsi="Segoe UI" w:cs="Segoe UI"/>
          <w:sz w:val="18"/>
          <w:szCs w:val="18"/>
        </w:rPr>
        <w:t xml:space="preserve"> 2013. "Externalities of Openness in Innovation." </w:t>
      </w:r>
      <w:r>
        <w:rPr>
          <w:rFonts w:ascii="Segoe UI" w:hAnsi="Segoe UI" w:cs="Segoe UI"/>
          <w:i/>
          <w:iCs/>
          <w:sz w:val="18"/>
          <w:szCs w:val="18"/>
        </w:rPr>
        <w:t>Research Policy</w:t>
      </w:r>
      <w:r>
        <w:rPr>
          <w:rFonts w:ascii="Segoe UI" w:hAnsi="Segoe UI" w:cs="Segoe UI"/>
          <w:sz w:val="18"/>
          <w:szCs w:val="18"/>
        </w:rPr>
        <w:t>, 42(9), 1544-54.</w:t>
      </w:r>
    </w:p>
  </w:endnote>
  <w:endnote w:id="3">
    <w:p w:rsidR="003C07E3" w:rsidRDefault="003C07E3" w:rsidP="00844FD4">
      <w:pPr>
        <w:pStyle w:val="EndnoteText"/>
      </w:pPr>
      <w:r>
        <w:rPr>
          <w:rStyle w:val="EndnoteReference"/>
        </w:rPr>
        <w:endnoteRef/>
      </w:r>
      <w:r>
        <w:t xml:space="preserve"> Coefficients of variation for the four waves are: 0.184, 0.177, 0.222 and 0.199 respectively.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48162"/>
      <w:docPartObj>
        <w:docPartGallery w:val="Page Numbers (Bottom of Page)"/>
        <w:docPartUnique/>
      </w:docPartObj>
    </w:sdtPr>
    <w:sdtEndPr>
      <w:rPr>
        <w:noProof/>
      </w:rPr>
    </w:sdtEndPr>
    <w:sdtContent>
      <w:p w:rsidR="003C07E3" w:rsidRDefault="003C07E3">
        <w:pPr>
          <w:pStyle w:val="Footer"/>
          <w:jc w:val="center"/>
        </w:pPr>
        <w:r>
          <w:fldChar w:fldCharType="begin"/>
        </w:r>
        <w:r>
          <w:instrText xml:space="preserve"> PAGE   \* MERGEFORMAT </w:instrText>
        </w:r>
        <w:r>
          <w:fldChar w:fldCharType="separate"/>
        </w:r>
        <w:r w:rsidR="00DE1D38">
          <w:rPr>
            <w:noProof/>
          </w:rPr>
          <w:t>1</w:t>
        </w:r>
        <w:r>
          <w:rPr>
            <w:noProof/>
          </w:rPr>
          <w:fldChar w:fldCharType="end"/>
        </w:r>
      </w:p>
    </w:sdtContent>
  </w:sdt>
  <w:p w:rsidR="003C07E3" w:rsidRDefault="003C07E3" w:rsidP="00337DC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FA" w:rsidRDefault="00D160FA" w:rsidP="003E5CC8">
      <w:pPr>
        <w:spacing w:after="0" w:line="240" w:lineRule="auto"/>
      </w:pPr>
      <w:r>
        <w:separator/>
      </w:r>
    </w:p>
  </w:footnote>
  <w:footnote w:type="continuationSeparator" w:id="0">
    <w:p w:rsidR="00D160FA" w:rsidRDefault="00D160FA" w:rsidP="003E5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7E3" w:rsidRPr="00337DC6" w:rsidRDefault="003C07E3" w:rsidP="00337DC6">
    <w:pPr>
      <w:pStyle w:val="Header"/>
      <w:jc w:val="right"/>
    </w:pPr>
    <w:r>
      <w:rPr>
        <w:noProof/>
        <w:lang w:eastAsia="en-GB"/>
      </w:rPr>
      <w:drawing>
        <wp:inline distT="0" distB="0" distL="0" distR="0">
          <wp:extent cx="1504383" cy="64468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04010" cy="644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0387"/>
    <w:multiLevelType w:val="hybridMultilevel"/>
    <w:tmpl w:val="09B81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C42744"/>
    <w:multiLevelType w:val="hybridMultilevel"/>
    <w:tmpl w:val="D8FE2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6D380E"/>
    <w:multiLevelType w:val="hybridMultilevel"/>
    <w:tmpl w:val="5B38EA98"/>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3B21BA4"/>
    <w:multiLevelType w:val="hybridMultilevel"/>
    <w:tmpl w:val="2318A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9685D00"/>
    <w:multiLevelType w:val="hybridMultilevel"/>
    <w:tmpl w:val="2E3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72"/>
    <w:rsid w:val="00195A04"/>
    <w:rsid w:val="001F20B8"/>
    <w:rsid w:val="00207F34"/>
    <w:rsid w:val="00217695"/>
    <w:rsid w:val="00254DC2"/>
    <w:rsid w:val="00271ECC"/>
    <w:rsid w:val="0029080B"/>
    <w:rsid w:val="002A57BA"/>
    <w:rsid w:val="002B0BDA"/>
    <w:rsid w:val="002D0CBB"/>
    <w:rsid w:val="00337DC6"/>
    <w:rsid w:val="0035758F"/>
    <w:rsid w:val="003A4CA4"/>
    <w:rsid w:val="003A6A88"/>
    <w:rsid w:val="003B5AC2"/>
    <w:rsid w:val="003C07E3"/>
    <w:rsid w:val="003E5CC8"/>
    <w:rsid w:val="004002CE"/>
    <w:rsid w:val="00491196"/>
    <w:rsid w:val="004D0101"/>
    <w:rsid w:val="00505B7F"/>
    <w:rsid w:val="0053126F"/>
    <w:rsid w:val="006831FA"/>
    <w:rsid w:val="00692CAB"/>
    <w:rsid w:val="006C47F1"/>
    <w:rsid w:val="006C4A82"/>
    <w:rsid w:val="006D0FA6"/>
    <w:rsid w:val="00705FD4"/>
    <w:rsid w:val="007558C8"/>
    <w:rsid w:val="007C2BDF"/>
    <w:rsid w:val="007F7072"/>
    <w:rsid w:val="00810A7E"/>
    <w:rsid w:val="00842BA4"/>
    <w:rsid w:val="00844FD4"/>
    <w:rsid w:val="008B113E"/>
    <w:rsid w:val="008D46B6"/>
    <w:rsid w:val="0098658A"/>
    <w:rsid w:val="009F144C"/>
    <w:rsid w:val="00A43AA4"/>
    <w:rsid w:val="00AC216B"/>
    <w:rsid w:val="00AC7628"/>
    <w:rsid w:val="00B114B2"/>
    <w:rsid w:val="00B431C4"/>
    <w:rsid w:val="00B7246C"/>
    <w:rsid w:val="00B963D3"/>
    <w:rsid w:val="00BA5D5D"/>
    <w:rsid w:val="00BB1568"/>
    <w:rsid w:val="00BC7D7C"/>
    <w:rsid w:val="00C857ED"/>
    <w:rsid w:val="00CB75C0"/>
    <w:rsid w:val="00CF632C"/>
    <w:rsid w:val="00D160FA"/>
    <w:rsid w:val="00D65C71"/>
    <w:rsid w:val="00D76E89"/>
    <w:rsid w:val="00D81E3A"/>
    <w:rsid w:val="00DD641E"/>
    <w:rsid w:val="00DE1D38"/>
    <w:rsid w:val="00DE2445"/>
    <w:rsid w:val="00E160D3"/>
    <w:rsid w:val="00E63A1F"/>
    <w:rsid w:val="00E72E43"/>
    <w:rsid w:val="00EA571A"/>
    <w:rsid w:val="00ED179C"/>
    <w:rsid w:val="00F57971"/>
    <w:rsid w:val="00FA6D87"/>
    <w:rsid w:val="00FE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C8"/>
  </w:style>
  <w:style w:type="paragraph" w:styleId="Footer">
    <w:name w:val="footer"/>
    <w:basedOn w:val="Normal"/>
    <w:link w:val="FooterChar"/>
    <w:uiPriority w:val="99"/>
    <w:unhideWhenUsed/>
    <w:rsid w:val="003E5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C8"/>
  </w:style>
  <w:style w:type="paragraph" w:styleId="BalloonText">
    <w:name w:val="Balloon Text"/>
    <w:basedOn w:val="Normal"/>
    <w:link w:val="BalloonTextChar"/>
    <w:uiPriority w:val="99"/>
    <w:semiHidden/>
    <w:unhideWhenUsed/>
    <w:rsid w:val="003E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C8"/>
    <w:rPr>
      <w:rFonts w:ascii="Tahoma" w:hAnsi="Tahoma" w:cs="Tahoma"/>
      <w:sz w:val="16"/>
      <w:szCs w:val="16"/>
    </w:rPr>
  </w:style>
  <w:style w:type="character" w:styleId="CommentReference">
    <w:name w:val="annotation reference"/>
    <w:basedOn w:val="DefaultParagraphFont"/>
    <w:uiPriority w:val="99"/>
    <w:semiHidden/>
    <w:unhideWhenUsed/>
    <w:rsid w:val="004D0101"/>
    <w:rPr>
      <w:sz w:val="16"/>
      <w:szCs w:val="16"/>
    </w:rPr>
  </w:style>
  <w:style w:type="paragraph" w:styleId="CommentText">
    <w:name w:val="annotation text"/>
    <w:basedOn w:val="Normal"/>
    <w:link w:val="CommentTextChar"/>
    <w:uiPriority w:val="99"/>
    <w:semiHidden/>
    <w:unhideWhenUsed/>
    <w:rsid w:val="004D0101"/>
    <w:pPr>
      <w:spacing w:line="240" w:lineRule="auto"/>
    </w:pPr>
    <w:rPr>
      <w:sz w:val="20"/>
      <w:szCs w:val="20"/>
    </w:rPr>
  </w:style>
  <w:style w:type="character" w:customStyle="1" w:styleId="CommentTextChar">
    <w:name w:val="Comment Text Char"/>
    <w:basedOn w:val="DefaultParagraphFont"/>
    <w:link w:val="CommentText"/>
    <w:uiPriority w:val="99"/>
    <w:semiHidden/>
    <w:rsid w:val="004D0101"/>
    <w:rPr>
      <w:sz w:val="20"/>
      <w:szCs w:val="20"/>
    </w:rPr>
  </w:style>
  <w:style w:type="paragraph" w:styleId="CommentSubject">
    <w:name w:val="annotation subject"/>
    <w:basedOn w:val="CommentText"/>
    <w:next w:val="CommentText"/>
    <w:link w:val="CommentSubjectChar"/>
    <w:uiPriority w:val="99"/>
    <w:semiHidden/>
    <w:unhideWhenUsed/>
    <w:rsid w:val="004D0101"/>
    <w:rPr>
      <w:b/>
      <w:bCs/>
    </w:rPr>
  </w:style>
  <w:style w:type="character" w:customStyle="1" w:styleId="CommentSubjectChar">
    <w:name w:val="Comment Subject Char"/>
    <w:basedOn w:val="CommentTextChar"/>
    <w:link w:val="CommentSubject"/>
    <w:uiPriority w:val="99"/>
    <w:semiHidden/>
    <w:rsid w:val="004D0101"/>
    <w:rPr>
      <w:b/>
      <w:bCs/>
      <w:sz w:val="20"/>
      <w:szCs w:val="20"/>
    </w:rPr>
  </w:style>
  <w:style w:type="character" w:styleId="Hyperlink">
    <w:name w:val="Hyperlink"/>
    <w:basedOn w:val="DefaultParagraphFont"/>
    <w:uiPriority w:val="99"/>
    <w:unhideWhenUsed/>
    <w:rsid w:val="00FA6D87"/>
    <w:rPr>
      <w:color w:val="0000FF" w:themeColor="hyperlink"/>
      <w:u w:val="single"/>
    </w:rPr>
  </w:style>
  <w:style w:type="paragraph" w:styleId="EndnoteText">
    <w:name w:val="endnote text"/>
    <w:basedOn w:val="Normal"/>
    <w:link w:val="EndnoteTextChar"/>
    <w:uiPriority w:val="99"/>
    <w:semiHidden/>
    <w:unhideWhenUsed/>
    <w:rsid w:val="004002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2CE"/>
    <w:rPr>
      <w:sz w:val="20"/>
      <w:szCs w:val="20"/>
    </w:rPr>
  </w:style>
  <w:style w:type="character" w:styleId="EndnoteReference">
    <w:name w:val="endnote reference"/>
    <w:basedOn w:val="DefaultParagraphFont"/>
    <w:uiPriority w:val="99"/>
    <w:semiHidden/>
    <w:unhideWhenUsed/>
    <w:rsid w:val="004002CE"/>
    <w:rPr>
      <w:vertAlign w:val="superscript"/>
    </w:rPr>
  </w:style>
  <w:style w:type="paragraph" w:styleId="FootnoteText">
    <w:name w:val="footnote text"/>
    <w:basedOn w:val="Normal"/>
    <w:link w:val="FootnoteTextChar"/>
    <w:uiPriority w:val="99"/>
    <w:unhideWhenUsed/>
    <w:rsid w:val="004002CE"/>
    <w:pPr>
      <w:spacing w:after="0" w:line="240" w:lineRule="auto"/>
    </w:pPr>
    <w:rPr>
      <w:sz w:val="20"/>
      <w:szCs w:val="20"/>
    </w:rPr>
  </w:style>
  <w:style w:type="character" w:customStyle="1" w:styleId="FootnoteTextChar">
    <w:name w:val="Footnote Text Char"/>
    <w:basedOn w:val="DefaultParagraphFont"/>
    <w:link w:val="FootnoteText"/>
    <w:uiPriority w:val="99"/>
    <w:rsid w:val="004002CE"/>
    <w:rPr>
      <w:sz w:val="20"/>
      <w:szCs w:val="20"/>
    </w:rPr>
  </w:style>
  <w:style w:type="character" w:styleId="FootnoteReference">
    <w:name w:val="footnote reference"/>
    <w:basedOn w:val="DefaultParagraphFont"/>
    <w:uiPriority w:val="99"/>
    <w:semiHidden/>
    <w:unhideWhenUsed/>
    <w:rsid w:val="004002CE"/>
    <w:rPr>
      <w:vertAlign w:val="superscript"/>
    </w:rPr>
  </w:style>
  <w:style w:type="character" w:styleId="Strong">
    <w:name w:val="Strong"/>
    <w:basedOn w:val="DefaultParagraphFont"/>
    <w:uiPriority w:val="22"/>
    <w:qFormat/>
    <w:rsid w:val="00E160D3"/>
    <w:rPr>
      <w:b/>
      <w:bCs/>
    </w:rPr>
  </w:style>
  <w:style w:type="table" w:styleId="TableGrid">
    <w:name w:val="Table Grid"/>
    <w:basedOn w:val="TableNormal"/>
    <w:uiPriority w:val="59"/>
    <w:rsid w:val="00844FD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4FD4"/>
    <w:rPr>
      <w:color w:val="808080"/>
    </w:rPr>
  </w:style>
  <w:style w:type="paragraph" w:styleId="ListParagraph">
    <w:name w:val="List Paragraph"/>
    <w:basedOn w:val="Normal"/>
    <w:uiPriority w:val="34"/>
    <w:qFormat/>
    <w:rsid w:val="00844FD4"/>
    <w:pPr>
      <w:ind w:left="720"/>
      <w:contextualSpacing/>
    </w:pPr>
    <w:rPr>
      <w:rFonts w:eastAsiaTheme="minorEastAsia"/>
      <w:lang w:eastAsia="en-GB"/>
    </w:rPr>
  </w:style>
  <w:style w:type="paragraph" w:styleId="PlainText">
    <w:name w:val="Plain Text"/>
    <w:basedOn w:val="Normal"/>
    <w:link w:val="PlainTextChar"/>
    <w:uiPriority w:val="99"/>
    <w:unhideWhenUsed/>
    <w:rsid w:val="00DE2445"/>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DE244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C8"/>
  </w:style>
  <w:style w:type="paragraph" w:styleId="Footer">
    <w:name w:val="footer"/>
    <w:basedOn w:val="Normal"/>
    <w:link w:val="FooterChar"/>
    <w:uiPriority w:val="99"/>
    <w:unhideWhenUsed/>
    <w:rsid w:val="003E5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C8"/>
  </w:style>
  <w:style w:type="paragraph" w:styleId="BalloonText">
    <w:name w:val="Balloon Text"/>
    <w:basedOn w:val="Normal"/>
    <w:link w:val="BalloonTextChar"/>
    <w:uiPriority w:val="99"/>
    <w:semiHidden/>
    <w:unhideWhenUsed/>
    <w:rsid w:val="003E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C8"/>
    <w:rPr>
      <w:rFonts w:ascii="Tahoma" w:hAnsi="Tahoma" w:cs="Tahoma"/>
      <w:sz w:val="16"/>
      <w:szCs w:val="16"/>
    </w:rPr>
  </w:style>
  <w:style w:type="character" w:styleId="CommentReference">
    <w:name w:val="annotation reference"/>
    <w:basedOn w:val="DefaultParagraphFont"/>
    <w:uiPriority w:val="99"/>
    <w:semiHidden/>
    <w:unhideWhenUsed/>
    <w:rsid w:val="004D0101"/>
    <w:rPr>
      <w:sz w:val="16"/>
      <w:szCs w:val="16"/>
    </w:rPr>
  </w:style>
  <w:style w:type="paragraph" w:styleId="CommentText">
    <w:name w:val="annotation text"/>
    <w:basedOn w:val="Normal"/>
    <w:link w:val="CommentTextChar"/>
    <w:uiPriority w:val="99"/>
    <w:semiHidden/>
    <w:unhideWhenUsed/>
    <w:rsid w:val="004D0101"/>
    <w:pPr>
      <w:spacing w:line="240" w:lineRule="auto"/>
    </w:pPr>
    <w:rPr>
      <w:sz w:val="20"/>
      <w:szCs w:val="20"/>
    </w:rPr>
  </w:style>
  <w:style w:type="character" w:customStyle="1" w:styleId="CommentTextChar">
    <w:name w:val="Comment Text Char"/>
    <w:basedOn w:val="DefaultParagraphFont"/>
    <w:link w:val="CommentText"/>
    <w:uiPriority w:val="99"/>
    <w:semiHidden/>
    <w:rsid w:val="004D0101"/>
    <w:rPr>
      <w:sz w:val="20"/>
      <w:szCs w:val="20"/>
    </w:rPr>
  </w:style>
  <w:style w:type="paragraph" w:styleId="CommentSubject">
    <w:name w:val="annotation subject"/>
    <w:basedOn w:val="CommentText"/>
    <w:next w:val="CommentText"/>
    <w:link w:val="CommentSubjectChar"/>
    <w:uiPriority w:val="99"/>
    <w:semiHidden/>
    <w:unhideWhenUsed/>
    <w:rsid w:val="004D0101"/>
    <w:rPr>
      <w:b/>
      <w:bCs/>
    </w:rPr>
  </w:style>
  <w:style w:type="character" w:customStyle="1" w:styleId="CommentSubjectChar">
    <w:name w:val="Comment Subject Char"/>
    <w:basedOn w:val="CommentTextChar"/>
    <w:link w:val="CommentSubject"/>
    <w:uiPriority w:val="99"/>
    <w:semiHidden/>
    <w:rsid w:val="004D0101"/>
    <w:rPr>
      <w:b/>
      <w:bCs/>
      <w:sz w:val="20"/>
      <w:szCs w:val="20"/>
    </w:rPr>
  </w:style>
  <w:style w:type="character" w:styleId="Hyperlink">
    <w:name w:val="Hyperlink"/>
    <w:basedOn w:val="DefaultParagraphFont"/>
    <w:uiPriority w:val="99"/>
    <w:unhideWhenUsed/>
    <w:rsid w:val="00FA6D87"/>
    <w:rPr>
      <w:color w:val="0000FF" w:themeColor="hyperlink"/>
      <w:u w:val="single"/>
    </w:rPr>
  </w:style>
  <w:style w:type="paragraph" w:styleId="EndnoteText">
    <w:name w:val="endnote text"/>
    <w:basedOn w:val="Normal"/>
    <w:link w:val="EndnoteTextChar"/>
    <w:uiPriority w:val="99"/>
    <w:semiHidden/>
    <w:unhideWhenUsed/>
    <w:rsid w:val="004002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2CE"/>
    <w:rPr>
      <w:sz w:val="20"/>
      <w:szCs w:val="20"/>
    </w:rPr>
  </w:style>
  <w:style w:type="character" w:styleId="EndnoteReference">
    <w:name w:val="endnote reference"/>
    <w:basedOn w:val="DefaultParagraphFont"/>
    <w:uiPriority w:val="99"/>
    <w:semiHidden/>
    <w:unhideWhenUsed/>
    <w:rsid w:val="004002CE"/>
    <w:rPr>
      <w:vertAlign w:val="superscript"/>
    </w:rPr>
  </w:style>
  <w:style w:type="paragraph" w:styleId="FootnoteText">
    <w:name w:val="footnote text"/>
    <w:basedOn w:val="Normal"/>
    <w:link w:val="FootnoteTextChar"/>
    <w:uiPriority w:val="99"/>
    <w:unhideWhenUsed/>
    <w:rsid w:val="004002CE"/>
    <w:pPr>
      <w:spacing w:after="0" w:line="240" w:lineRule="auto"/>
    </w:pPr>
    <w:rPr>
      <w:sz w:val="20"/>
      <w:szCs w:val="20"/>
    </w:rPr>
  </w:style>
  <w:style w:type="character" w:customStyle="1" w:styleId="FootnoteTextChar">
    <w:name w:val="Footnote Text Char"/>
    <w:basedOn w:val="DefaultParagraphFont"/>
    <w:link w:val="FootnoteText"/>
    <w:uiPriority w:val="99"/>
    <w:rsid w:val="004002CE"/>
    <w:rPr>
      <w:sz w:val="20"/>
      <w:szCs w:val="20"/>
    </w:rPr>
  </w:style>
  <w:style w:type="character" w:styleId="FootnoteReference">
    <w:name w:val="footnote reference"/>
    <w:basedOn w:val="DefaultParagraphFont"/>
    <w:uiPriority w:val="99"/>
    <w:semiHidden/>
    <w:unhideWhenUsed/>
    <w:rsid w:val="004002CE"/>
    <w:rPr>
      <w:vertAlign w:val="superscript"/>
    </w:rPr>
  </w:style>
  <w:style w:type="character" w:styleId="Strong">
    <w:name w:val="Strong"/>
    <w:basedOn w:val="DefaultParagraphFont"/>
    <w:uiPriority w:val="22"/>
    <w:qFormat/>
    <w:rsid w:val="00E160D3"/>
    <w:rPr>
      <w:b/>
      <w:bCs/>
    </w:rPr>
  </w:style>
  <w:style w:type="table" w:styleId="TableGrid">
    <w:name w:val="Table Grid"/>
    <w:basedOn w:val="TableNormal"/>
    <w:uiPriority w:val="59"/>
    <w:rsid w:val="00844FD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4FD4"/>
    <w:rPr>
      <w:color w:val="808080"/>
    </w:rPr>
  </w:style>
  <w:style w:type="paragraph" w:styleId="ListParagraph">
    <w:name w:val="List Paragraph"/>
    <w:basedOn w:val="Normal"/>
    <w:uiPriority w:val="34"/>
    <w:qFormat/>
    <w:rsid w:val="00844FD4"/>
    <w:pPr>
      <w:ind w:left="720"/>
      <w:contextualSpacing/>
    </w:pPr>
    <w:rPr>
      <w:rFonts w:eastAsiaTheme="minorEastAsia"/>
      <w:lang w:eastAsia="en-GB"/>
    </w:rPr>
  </w:style>
  <w:style w:type="paragraph" w:styleId="PlainText">
    <w:name w:val="Plain Text"/>
    <w:basedOn w:val="Normal"/>
    <w:link w:val="PlainTextChar"/>
    <w:uiPriority w:val="99"/>
    <w:unhideWhenUsed/>
    <w:rsid w:val="00DE2445"/>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rsid w:val="00DE244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2913">
      <w:bodyDiv w:val="1"/>
      <w:marLeft w:val="0"/>
      <w:marRight w:val="0"/>
      <w:marTop w:val="0"/>
      <w:marBottom w:val="0"/>
      <w:divBdr>
        <w:top w:val="none" w:sz="0" w:space="0" w:color="auto"/>
        <w:left w:val="none" w:sz="0" w:space="0" w:color="auto"/>
        <w:bottom w:val="none" w:sz="0" w:space="0" w:color="auto"/>
        <w:right w:val="none" w:sz="0" w:space="0" w:color="auto"/>
      </w:divBdr>
    </w:div>
    <w:div w:id="8711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phen.Roper@wbs.ac.uk"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EAADD-C698-495B-B440-BA858BA2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20433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 Stephen</dc:creator>
  <cp:lastModifiedBy>Aston University</cp:lastModifiedBy>
  <cp:revision>2</cp:revision>
  <cp:lastPrinted>2014-12-12T10:24:00Z</cp:lastPrinted>
  <dcterms:created xsi:type="dcterms:W3CDTF">2014-12-12T10:36:00Z</dcterms:created>
  <dcterms:modified xsi:type="dcterms:W3CDTF">2014-12-12T10:36:00Z</dcterms:modified>
</cp:coreProperties>
</file>