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2B158" w14:textId="41B3A441" w:rsidR="00D23BFD" w:rsidRDefault="00546EBF" w:rsidP="004C61CF">
      <w:pPr>
        <w:spacing w:line="276" w:lineRule="auto"/>
        <w:rPr>
          <w:b/>
          <w:sz w:val="22"/>
          <w:szCs w:val="22"/>
        </w:rPr>
      </w:pPr>
      <w:bookmarkStart w:id="0" w:name="_Hlk492375084"/>
      <w:r>
        <w:rPr>
          <w:b/>
          <w:noProof/>
          <w:sz w:val="22"/>
          <w:szCs w:val="22"/>
          <w:lang w:val="en-GB" w:eastAsia="en-GB"/>
        </w:rPr>
        <w:drawing>
          <wp:inline distT="0" distB="0" distL="0" distR="0" wp14:anchorId="23B13439" wp14:editId="42E86D43">
            <wp:extent cx="1524000" cy="6531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_Logo_RGB.17kb.jpg"/>
                    <pic:cNvPicPr/>
                  </pic:nvPicPr>
                  <pic:blipFill>
                    <a:blip r:embed="rId7"/>
                    <a:stretch>
                      <a:fillRect/>
                    </a:stretch>
                  </pic:blipFill>
                  <pic:spPr>
                    <a:xfrm>
                      <a:off x="0" y="0"/>
                      <a:ext cx="1552111" cy="665164"/>
                    </a:xfrm>
                    <a:prstGeom prst="rect">
                      <a:avLst/>
                    </a:prstGeom>
                  </pic:spPr>
                </pic:pic>
              </a:graphicData>
            </a:graphic>
          </wp:inline>
        </w:drawing>
      </w:r>
    </w:p>
    <w:p w14:paraId="786A5222" w14:textId="77777777" w:rsidR="00546EBF" w:rsidRDefault="00546EBF" w:rsidP="004C61CF">
      <w:pPr>
        <w:spacing w:line="276" w:lineRule="auto"/>
        <w:rPr>
          <w:b/>
          <w:sz w:val="22"/>
          <w:szCs w:val="22"/>
        </w:rPr>
      </w:pPr>
    </w:p>
    <w:p w14:paraId="2A675194" w14:textId="77777777" w:rsidR="00BC2B71" w:rsidRDefault="00BC2B71" w:rsidP="004C61CF">
      <w:pPr>
        <w:spacing w:line="276" w:lineRule="auto"/>
        <w:rPr>
          <w:b/>
        </w:rPr>
      </w:pPr>
    </w:p>
    <w:p w14:paraId="14068AD4" w14:textId="2A4BB2C8" w:rsidR="008538BB" w:rsidRDefault="008538BB" w:rsidP="004C61CF">
      <w:pPr>
        <w:spacing w:line="276" w:lineRule="auto"/>
        <w:rPr>
          <w:b/>
          <w:sz w:val="22"/>
          <w:szCs w:val="22"/>
        </w:rPr>
      </w:pPr>
    </w:p>
    <w:p w14:paraId="3B90F4E1" w14:textId="77777777" w:rsidR="00FE7949" w:rsidRPr="00AD1B1A" w:rsidRDefault="00FE7949" w:rsidP="004C61CF">
      <w:pPr>
        <w:spacing w:line="276" w:lineRule="auto"/>
        <w:rPr>
          <w:b/>
          <w:sz w:val="22"/>
          <w:szCs w:val="22"/>
        </w:rPr>
      </w:pPr>
    </w:p>
    <w:p w14:paraId="784C5B48" w14:textId="77777777" w:rsidR="008E3275" w:rsidRPr="00400C48" w:rsidRDefault="00FB7262" w:rsidP="004C61CF">
      <w:pPr>
        <w:spacing w:line="276" w:lineRule="auto"/>
        <w:rPr>
          <w:b/>
          <w:sz w:val="28"/>
          <w:szCs w:val="28"/>
        </w:rPr>
      </w:pPr>
      <w:r w:rsidRPr="00400C48">
        <w:rPr>
          <w:b/>
          <w:sz w:val="28"/>
          <w:szCs w:val="28"/>
        </w:rPr>
        <w:t>News release</w:t>
      </w:r>
    </w:p>
    <w:p w14:paraId="435B90C0" w14:textId="77777777" w:rsidR="00734351" w:rsidRDefault="00734351" w:rsidP="004C61CF">
      <w:pPr>
        <w:spacing w:line="276" w:lineRule="auto"/>
        <w:rPr>
          <w:sz w:val="22"/>
          <w:szCs w:val="22"/>
        </w:rPr>
      </w:pPr>
    </w:p>
    <w:p w14:paraId="3378A930" w14:textId="20B550C8" w:rsidR="00FB7262" w:rsidRPr="00AD1B1A" w:rsidRDefault="00734351" w:rsidP="004C61CF">
      <w:pPr>
        <w:spacing w:line="276" w:lineRule="auto"/>
        <w:rPr>
          <w:sz w:val="22"/>
          <w:szCs w:val="22"/>
        </w:rPr>
      </w:pPr>
      <w:r>
        <w:rPr>
          <w:sz w:val="22"/>
          <w:szCs w:val="22"/>
        </w:rPr>
        <w:t>12</w:t>
      </w:r>
      <w:r w:rsidR="00BF42DE" w:rsidRPr="00BF42DE">
        <w:rPr>
          <w:sz w:val="22"/>
          <w:szCs w:val="22"/>
          <w:vertAlign w:val="superscript"/>
        </w:rPr>
        <w:t>th</w:t>
      </w:r>
      <w:r w:rsidR="00BF42DE">
        <w:rPr>
          <w:sz w:val="22"/>
          <w:szCs w:val="22"/>
        </w:rPr>
        <w:t xml:space="preserve"> </w:t>
      </w:r>
      <w:r w:rsidR="00E40146">
        <w:rPr>
          <w:sz w:val="22"/>
          <w:szCs w:val="22"/>
        </w:rPr>
        <w:t xml:space="preserve">November </w:t>
      </w:r>
      <w:r w:rsidR="00106C14">
        <w:rPr>
          <w:sz w:val="22"/>
          <w:szCs w:val="22"/>
        </w:rPr>
        <w:t>2018</w:t>
      </w:r>
    </w:p>
    <w:p w14:paraId="36FF5813" w14:textId="77777777" w:rsidR="00FB7262" w:rsidRPr="00AD1B1A" w:rsidRDefault="00FB7262" w:rsidP="004C61CF">
      <w:pPr>
        <w:spacing w:line="276" w:lineRule="auto"/>
        <w:rPr>
          <w:sz w:val="22"/>
          <w:szCs w:val="22"/>
        </w:rPr>
      </w:pPr>
    </w:p>
    <w:p w14:paraId="7CE2AF3C" w14:textId="3EAB0D92" w:rsidR="00FB7262" w:rsidRPr="00400C48" w:rsidRDefault="002B0BA2" w:rsidP="004C61CF">
      <w:pPr>
        <w:spacing w:line="276" w:lineRule="auto"/>
        <w:rPr>
          <w:b/>
          <w:sz w:val="28"/>
          <w:szCs w:val="28"/>
        </w:rPr>
      </w:pPr>
      <w:r>
        <w:rPr>
          <w:b/>
          <w:sz w:val="28"/>
          <w:szCs w:val="28"/>
        </w:rPr>
        <w:t>N</w:t>
      </w:r>
      <w:r w:rsidR="00676006">
        <w:rPr>
          <w:b/>
          <w:sz w:val="28"/>
          <w:szCs w:val="28"/>
        </w:rPr>
        <w:t xml:space="preserve">orthern </w:t>
      </w:r>
      <w:r>
        <w:rPr>
          <w:b/>
          <w:sz w:val="28"/>
          <w:szCs w:val="28"/>
        </w:rPr>
        <w:t>I</w:t>
      </w:r>
      <w:r w:rsidR="00676006">
        <w:rPr>
          <w:b/>
          <w:sz w:val="28"/>
          <w:szCs w:val="28"/>
        </w:rPr>
        <w:t>reland</w:t>
      </w:r>
      <w:r>
        <w:rPr>
          <w:b/>
          <w:sz w:val="28"/>
          <w:szCs w:val="28"/>
        </w:rPr>
        <w:t>’s enterprise progress</w:t>
      </w:r>
      <w:r w:rsidR="00734351">
        <w:rPr>
          <w:b/>
          <w:sz w:val="28"/>
          <w:szCs w:val="28"/>
        </w:rPr>
        <w:t xml:space="preserve"> threatened by Brexit uncertainty</w:t>
      </w:r>
    </w:p>
    <w:p w14:paraId="1F6984F0" w14:textId="77777777" w:rsidR="00FB7262" w:rsidRDefault="00FB7262" w:rsidP="004C61CF">
      <w:pPr>
        <w:spacing w:line="276" w:lineRule="auto"/>
        <w:rPr>
          <w:sz w:val="22"/>
          <w:szCs w:val="22"/>
        </w:rPr>
      </w:pPr>
    </w:p>
    <w:p w14:paraId="20CB1168" w14:textId="6AC4A516" w:rsidR="00CA6654" w:rsidRPr="004C61CF" w:rsidRDefault="008F5388" w:rsidP="004C61CF">
      <w:pPr>
        <w:pStyle w:val="ListParagraph"/>
        <w:numPr>
          <w:ilvl w:val="0"/>
          <w:numId w:val="24"/>
        </w:numPr>
        <w:spacing w:line="276" w:lineRule="auto"/>
        <w:rPr>
          <w:b/>
          <w:sz w:val="22"/>
          <w:szCs w:val="22"/>
        </w:rPr>
      </w:pPr>
      <w:r>
        <w:rPr>
          <w:b/>
          <w:sz w:val="22"/>
          <w:szCs w:val="22"/>
        </w:rPr>
        <w:t>Proportion of early-stage entrepreneurs in Northern Ireland grows 75%</w:t>
      </w:r>
      <w:r w:rsidR="004C61CF">
        <w:rPr>
          <w:b/>
          <w:sz w:val="22"/>
          <w:szCs w:val="22"/>
        </w:rPr>
        <w:t xml:space="preserve"> in </w:t>
      </w:r>
      <w:r w:rsidR="004C61CF" w:rsidRPr="004C61CF">
        <w:rPr>
          <w:b/>
          <w:sz w:val="22"/>
          <w:szCs w:val="22"/>
        </w:rPr>
        <w:t>15 years</w:t>
      </w:r>
    </w:p>
    <w:p w14:paraId="14FE1D6E" w14:textId="08995474" w:rsidR="004C61CF" w:rsidRPr="004C61CF" w:rsidRDefault="004C61CF" w:rsidP="004C61CF">
      <w:pPr>
        <w:pStyle w:val="ListParagraph"/>
        <w:numPr>
          <w:ilvl w:val="0"/>
          <w:numId w:val="24"/>
        </w:numPr>
        <w:spacing w:line="276" w:lineRule="auto"/>
        <w:rPr>
          <w:b/>
          <w:sz w:val="22"/>
          <w:szCs w:val="22"/>
        </w:rPr>
      </w:pPr>
      <w:r w:rsidRPr="004C61CF">
        <w:rPr>
          <w:b/>
          <w:sz w:val="22"/>
          <w:szCs w:val="22"/>
        </w:rPr>
        <w:t>Meanwhile, established micro-businesses employ 20% of people, showing high rates of profitability and exporting</w:t>
      </w:r>
    </w:p>
    <w:p w14:paraId="56D6C6E6" w14:textId="502BECE6" w:rsidR="004C61CF" w:rsidRPr="004C61CF" w:rsidRDefault="004C61CF" w:rsidP="004C61CF">
      <w:pPr>
        <w:pStyle w:val="ListParagraph"/>
        <w:numPr>
          <w:ilvl w:val="0"/>
          <w:numId w:val="24"/>
        </w:numPr>
        <w:spacing w:line="276" w:lineRule="auto"/>
        <w:rPr>
          <w:b/>
          <w:sz w:val="22"/>
          <w:szCs w:val="22"/>
        </w:rPr>
      </w:pPr>
      <w:r w:rsidRPr="004C61CF">
        <w:rPr>
          <w:b/>
          <w:sz w:val="22"/>
          <w:szCs w:val="22"/>
        </w:rPr>
        <w:t>Bad Brexit deal could “set the clock back” on enterprise, academics warn</w:t>
      </w:r>
    </w:p>
    <w:p w14:paraId="03A61754" w14:textId="77777777" w:rsidR="00CA6654" w:rsidRDefault="00CA6654" w:rsidP="004C61CF">
      <w:pPr>
        <w:spacing w:line="276" w:lineRule="auto"/>
        <w:rPr>
          <w:sz w:val="22"/>
          <w:szCs w:val="22"/>
        </w:rPr>
      </w:pPr>
    </w:p>
    <w:p w14:paraId="13AD7389" w14:textId="367988F9" w:rsidR="00E03B5B" w:rsidRDefault="002201D6" w:rsidP="004C61CF">
      <w:pPr>
        <w:spacing w:line="276" w:lineRule="auto"/>
        <w:rPr>
          <w:sz w:val="22"/>
          <w:szCs w:val="22"/>
        </w:rPr>
      </w:pPr>
      <w:r>
        <w:rPr>
          <w:sz w:val="22"/>
          <w:szCs w:val="22"/>
        </w:rPr>
        <w:t>Brexit’s risk to recent positive trends among Northern Ireland’s entrepreneurs and micro-firms ha</w:t>
      </w:r>
      <w:r w:rsidR="00CD483E">
        <w:rPr>
          <w:sz w:val="22"/>
          <w:szCs w:val="22"/>
        </w:rPr>
        <w:t>s</w:t>
      </w:r>
      <w:r>
        <w:rPr>
          <w:sz w:val="22"/>
          <w:szCs w:val="22"/>
        </w:rPr>
        <w:t xml:space="preserve"> been spel</w:t>
      </w:r>
      <w:r w:rsidR="00CD483E">
        <w:rPr>
          <w:sz w:val="22"/>
          <w:szCs w:val="22"/>
        </w:rPr>
        <w:t>t</w:t>
      </w:r>
      <w:r>
        <w:rPr>
          <w:sz w:val="22"/>
          <w:szCs w:val="22"/>
        </w:rPr>
        <w:t xml:space="preserve"> out in new research.</w:t>
      </w:r>
    </w:p>
    <w:p w14:paraId="3E7F0AF5" w14:textId="2AD42475" w:rsidR="002201D6" w:rsidRDefault="002201D6" w:rsidP="004C61CF">
      <w:pPr>
        <w:spacing w:line="276" w:lineRule="auto"/>
        <w:rPr>
          <w:sz w:val="22"/>
          <w:szCs w:val="22"/>
        </w:rPr>
      </w:pPr>
    </w:p>
    <w:p w14:paraId="278772F9" w14:textId="2890EA85" w:rsidR="002201D6" w:rsidRDefault="002201D6" w:rsidP="004C61CF">
      <w:pPr>
        <w:spacing w:line="276" w:lineRule="auto"/>
        <w:rPr>
          <w:sz w:val="22"/>
          <w:szCs w:val="22"/>
        </w:rPr>
      </w:pPr>
      <w:r>
        <w:rPr>
          <w:sz w:val="22"/>
          <w:szCs w:val="22"/>
        </w:rPr>
        <w:t xml:space="preserve">The two studies by the </w:t>
      </w:r>
      <w:hyperlink r:id="rId8" w:history="1">
        <w:r w:rsidRPr="009B35D7">
          <w:rPr>
            <w:rStyle w:val="Hyperlink"/>
            <w:sz w:val="22"/>
            <w:szCs w:val="22"/>
          </w:rPr>
          <w:t>Enterprise Research Centre</w:t>
        </w:r>
      </w:hyperlink>
      <w:r w:rsidR="009054B5">
        <w:rPr>
          <w:sz w:val="22"/>
          <w:szCs w:val="22"/>
        </w:rPr>
        <w:t xml:space="preserve"> (ERC)</w:t>
      </w:r>
      <w:r w:rsidR="00D63915">
        <w:rPr>
          <w:sz w:val="22"/>
          <w:szCs w:val="22"/>
        </w:rPr>
        <w:t xml:space="preserve"> </w:t>
      </w:r>
      <w:r w:rsidR="00316D10">
        <w:rPr>
          <w:sz w:val="22"/>
          <w:szCs w:val="22"/>
        </w:rPr>
        <w:t xml:space="preserve">and Queen’s Management School </w:t>
      </w:r>
      <w:r w:rsidR="00D63915">
        <w:rPr>
          <w:sz w:val="22"/>
          <w:szCs w:val="22"/>
        </w:rPr>
        <w:t xml:space="preserve">show that </w:t>
      </w:r>
      <w:r w:rsidR="009054B5">
        <w:rPr>
          <w:sz w:val="22"/>
          <w:szCs w:val="22"/>
        </w:rPr>
        <w:t>the number of people in Northern Ireland becoming entrepreneurs has risen significantly in recent years, while its micro-firms (those employing 1-9 people) are the most profitable in the UK and more likely to export than most other regions.</w:t>
      </w:r>
    </w:p>
    <w:p w14:paraId="0ECF0F4C" w14:textId="388A9F24" w:rsidR="009054B5" w:rsidRDefault="009054B5" w:rsidP="004C61CF">
      <w:pPr>
        <w:spacing w:line="276" w:lineRule="auto"/>
        <w:rPr>
          <w:sz w:val="22"/>
          <w:szCs w:val="22"/>
        </w:rPr>
      </w:pPr>
    </w:p>
    <w:p w14:paraId="7688EBFB" w14:textId="77777777" w:rsidR="009B35D7" w:rsidRDefault="009054B5" w:rsidP="004C61CF">
      <w:pPr>
        <w:spacing w:line="276" w:lineRule="auto"/>
        <w:rPr>
          <w:sz w:val="22"/>
          <w:szCs w:val="22"/>
        </w:rPr>
      </w:pPr>
      <w:r>
        <w:rPr>
          <w:sz w:val="22"/>
          <w:szCs w:val="22"/>
        </w:rPr>
        <w:t>The ERC said the findings underlined the need for a practical solution to be found to the border issue in the government’s Brexit negotiations with the EU, to avoid “turning back the clock on enterprise”.</w:t>
      </w:r>
      <w:r w:rsidR="009B35D7">
        <w:rPr>
          <w:sz w:val="22"/>
          <w:szCs w:val="22"/>
        </w:rPr>
        <w:t xml:space="preserve"> </w:t>
      </w:r>
    </w:p>
    <w:p w14:paraId="6B629456" w14:textId="3FE18A73" w:rsidR="009054B5" w:rsidRDefault="009054B5" w:rsidP="004C61CF">
      <w:pPr>
        <w:spacing w:line="276" w:lineRule="auto"/>
        <w:rPr>
          <w:sz w:val="22"/>
          <w:szCs w:val="22"/>
        </w:rPr>
      </w:pPr>
    </w:p>
    <w:p w14:paraId="217FBEEC" w14:textId="75B65A52" w:rsidR="007A37A3" w:rsidRDefault="00AF0AB3" w:rsidP="004C61CF">
      <w:pPr>
        <w:spacing w:line="276" w:lineRule="auto"/>
        <w:rPr>
          <w:sz w:val="22"/>
          <w:szCs w:val="22"/>
        </w:rPr>
      </w:pPr>
      <w:r>
        <w:rPr>
          <w:sz w:val="22"/>
          <w:szCs w:val="22"/>
        </w:rPr>
        <w:t>The data</w:t>
      </w:r>
      <w:r w:rsidR="002551C1">
        <w:rPr>
          <w:sz w:val="22"/>
          <w:szCs w:val="22"/>
        </w:rPr>
        <w:t xml:space="preserve"> from the latest Global Entrepreneurship Monitor (GEM) </w:t>
      </w:r>
      <w:r w:rsidR="008A7F23">
        <w:rPr>
          <w:sz w:val="22"/>
          <w:szCs w:val="22"/>
        </w:rPr>
        <w:t>report for Northern Ireland show that o</w:t>
      </w:r>
      <w:r w:rsidR="007A37A3">
        <w:rPr>
          <w:sz w:val="22"/>
          <w:szCs w:val="22"/>
        </w:rPr>
        <w:t>ver the past 15 years, the proportion of Northern Ireland’s population describing themselves as “early stage entrepreneurs”</w:t>
      </w:r>
      <w:r w:rsidR="009054B5">
        <w:rPr>
          <w:sz w:val="22"/>
          <w:szCs w:val="22"/>
        </w:rPr>
        <w:t xml:space="preserve"> (those in the process of starting a business or running one for less than 3.5 years)</w:t>
      </w:r>
      <w:r w:rsidR="007A37A3">
        <w:rPr>
          <w:sz w:val="22"/>
          <w:szCs w:val="22"/>
        </w:rPr>
        <w:t xml:space="preserve"> has grown by 75%, to 6.5% of the working-age population – although this still lags the UK rate as a whole (8.7%).</w:t>
      </w:r>
    </w:p>
    <w:p w14:paraId="5423B7EE" w14:textId="79541600" w:rsidR="009054B5" w:rsidRDefault="009054B5" w:rsidP="004C61CF">
      <w:pPr>
        <w:spacing w:line="276" w:lineRule="auto"/>
        <w:rPr>
          <w:sz w:val="22"/>
          <w:szCs w:val="22"/>
        </w:rPr>
      </w:pPr>
    </w:p>
    <w:p w14:paraId="29DCF776" w14:textId="598C03D2" w:rsidR="009054B5" w:rsidRDefault="009054B5" w:rsidP="004C61CF">
      <w:pPr>
        <w:spacing w:line="276" w:lineRule="auto"/>
        <w:rPr>
          <w:sz w:val="22"/>
          <w:szCs w:val="22"/>
        </w:rPr>
      </w:pPr>
      <w:r>
        <w:rPr>
          <w:sz w:val="22"/>
          <w:szCs w:val="22"/>
        </w:rPr>
        <w:t xml:space="preserve">In 2015-2017 (the most recent available period), this ranged from a high of 10.5% in Mid and East Antrim to a low of 3.3% in Derry City and Strabane, with Belfast City having a </w:t>
      </w:r>
      <w:r w:rsidR="008C5962">
        <w:rPr>
          <w:sz w:val="22"/>
          <w:szCs w:val="22"/>
        </w:rPr>
        <w:t>rate</w:t>
      </w:r>
      <w:r w:rsidR="00400854">
        <w:rPr>
          <w:sz w:val="22"/>
          <w:szCs w:val="22"/>
        </w:rPr>
        <w:t xml:space="preserve"> of</w:t>
      </w:r>
      <w:r>
        <w:rPr>
          <w:sz w:val="22"/>
          <w:szCs w:val="22"/>
        </w:rPr>
        <w:t xml:space="preserve"> 5.7%</w:t>
      </w:r>
      <w:r w:rsidR="008C5962">
        <w:rPr>
          <w:sz w:val="22"/>
          <w:szCs w:val="22"/>
        </w:rPr>
        <w:t>, close to the NI average</w:t>
      </w:r>
      <w:r>
        <w:rPr>
          <w:sz w:val="22"/>
          <w:szCs w:val="22"/>
        </w:rPr>
        <w:t>.</w:t>
      </w:r>
    </w:p>
    <w:p w14:paraId="0549AA92" w14:textId="76215C0E" w:rsidR="002551C1" w:rsidRDefault="002551C1" w:rsidP="004C61CF">
      <w:pPr>
        <w:spacing w:line="276" w:lineRule="auto"/>
        <w:rPr>
          <w:sz w:val="22"/>
          <w:szCs w:val="22"/>
        </w:rPr>
      </w:pPr>
    </w:p>
    <w:p w14:paraId="78D58E0D" w14:textId="4F7C608E" w:rsidR="002551C1" w:rsidRDefault="002551C1" w:rsidP="004C61CF">
      <w:pPr>
        <w:spacing w:line="276" w:lineRule="auto"/>
        <w:rPr>
          <w:sz w:val="22"/>
          <w:szCs w:val="22"/>
        </w:rPr>
      </w:pPr>
      <w:r>
        <w:rPr>
          <w:sz w:val="22"/>
          <w:szCs w:val="22"/>
        </w:rPr>
        <w:lastRenderedPageBreak/>
        <w:t xml:space="preserve">Women are around half as likely as men to become entrepreneurs, with the only exception to this being Ards and North Down, where women are 60% more likely </w:t>
      </w:r>
      <w:r w:rsidR="00492CB0">
        <w:rPr>
          <w:sz w:val="22"/>
          <w:szCs w:val="22"/>
        </w:rPr>
        <w:t xml:space="preserve">than men </w:t>
      </w:r>
      <w:r>
        <w:rPr>
          <w:sz w:val="22"/>
          <w:szCs w:val="22"/>
        </w:rPr>
        <w:t>to be in</w:t>
      </w:r>
      <w:r w:rsidR="00492CB0">
        <w:rPr>
          <w:sz w:val="22"/>
          <w:szCs w:val="22"/>
        </w:rPr>
        <w:t xml:space="preserve"> the early stages of</w:t>
      </w:r>
      <w:r>
        <w:rPr>
          <w:sz w:val="22"/>
          <w:szCs w:val="22"/>
        </w:rPr>
        <w:t xml:space="preserve"> </w:t>
      </w:r>
      <w:r w:rsidR="00492CB0">
        <w:rPr>
          <w:sz w:val="22"/>
          <w:szCs w:val="22"/>
        </w:rPr>
        <w:t xml:space="preserve">running a </w:t>
      </w:r>
      <w:r>
        <w:rPr>
          <w:sz w:val="22"/>
          <w:szCs w:val="22"/>
        </w:rPr>
        <w:t>business.</w:t>
      </w:r>
    </w:p>
    <w:p w14:paraId="5B680A26" w14:textId="77777777" w:rsidR="00492CB0" w:rsidRDefault="00492CB0" w:rsidP="004C61CF">
      <w:pPr>
        <w:spacing w:line="276" w:lineRule="auto"/>
        <w:rPr>
          <w:sz w:val="22"/>
          <w:szCs w:val="22"/>
          <w:lang w:val="en-GB"/>
        </w:rPr>
      </w:pPr>
    </w:p>
    <w:p w14:paraId="76CF0133" w14:textId="73471199" w:rsidR="00492CB0" w:rsidRDefault="00492CB0" w:rsidP="004C61CF">
      <w:pPr>
        <w:spacing w:line="276" w:lineRule="auto"/>
        <w:rPr>
          <w:sz w:val="22"/>
          <w:szCs w:val="22"/>
          <w:lang w:val="en-GB"/>
        </w:rPr>
      </w:pPr>
      <w:r>
        <w:rPr>
          <w:sz w:val="22"/>
          <w:szCs w:val="22"/>
          <w:lang w:val="en-GB"/>
        </w:rPr>
        <w:t>According to the research, business owners in Northern Ireland have been more optimistic in recent years when it comes to expectations around the number of jobs they intend to create. In the most recent period (2015-17), both early-stage entrepreneurs</w:t>
      </w:r>
      <w:r w:rsidR="002F17D8">
        <w:rPr>
          <w:sz w:val="22"/>
          <w:szCs w:val="22"/>
          <w:lang w:val="en-GB"/>
        </w:rPr>
        <w:t xml:space="preserve"> and established firms</w:t>
      </w:r>
      <w:r>
        <w:rPr>
          <w:sz w:val="22"/>
          <w:szCs w:val="22"/>
          <w:lang w:val="en-GB"/>
        </w:rPr>
        <w:t xml:space="preserve"> in Northern Ireland expected their </w:t>
      </w:r>
      <w:r w:rsidR="002F17D8">
        <w:rPr>
          <w:sz w:val="22"/>
          <w:szCs w:val="22"/>
          <w:lang w:val="en-GB"/>
        </w:rPr>
        <w:t>companies</w:t>
      </w:r>
      <w:r>
        <w:rPr>
          <w:sz w:val="22"/>
          <w:szCs w:val="22"/>
          <w:lang w:val="en-GB"/>
        </w:rPr>
        <w:t xml:space="preserve"> to create more than 10 jobs over the next five years, both of which were higher than the UK average.</w:t>
      </w:r>
    </w:p>
    <w:p w14:paraId="44122D6A" w14:textId="77777777" w:rsidR="009054B5" w:rsidRDefault="009054B5" w:rsidP="004C61CF">
      <w:pPr>
        <w:spacing w:line="276" w:lineRule="auto"/>
        <w:rPr>
          <w:sz w:val="22"/>
          <w:szCs w:val="22"/>
        </w:rPr>
      </w:pPr>
    </w:p>
    <w:p w14:paraId="73F097A9" w14:textId="47C467DB" w:rsidR="002F17D8" w:rsidRDefault="008A7F23" w:rsidP="004C61CF">
      <w:pPr>
        <w:spacing w:line="276" w:lineRule="auto"/>
        <w:rPr>
          <w:sz w:val="22"/>
          <w:szCs w:val="22"/>
        </w:rPr>
      </w:pPr>
      <w:r>
        <w:rPr>
          <w:sz w:val="22"/>
          <w:szCs w:val="22"/>
        </w:rPr>
        <w:t>In a separate report published toda</w:t>
      </w:r>
      <w:r w:rsidR="00DA7624">
        <w:rPr>
          <w:sz w:val="22"/>
          <w:szCs w:val="22"/>
        </w:rPr>
        <w:t>y</w:t>
      </w:r>
      <w:r>
        <w:rPr>
          <w:sz w:val="22"/>
          <w:szCs w:val="22"/>
        </w:rPr>
        <w:t>, ERC</w:t>
      </w:r>
      <w:r w:rsidR="00316D10">
        <w:rPr>
          <w:sz w:val="22"/>
          <w:szCs w:val="22"/>
        </w:rPr>
        <w:t xml:space="preserve"> and Queen’s Management School</w:t>
      </w:r>
      <w:r>
        <w:rPr>
          <w:sz w:val="22"/>
          <w:szCs w:val="22"/>
        </w:rPr>
        <w:t xml:space="preserve"> academics have looked at the contribution so-called </w:t>
      </w:r>
      <w:r w:rsidR="00AC1E89">
        <w:rPr>
          <w:sz w:val="22"/>
          <w:szCs w:val="22"/>
        </w:rPr>
        <w:t>‘</w:t>
      </w:r>
      <w:r>
        <w:rPr>
          <w:sz w:val="22"/>
          <w:szCs w:val="22"/>
        </w:rPr>
        <w:t>micro-businesses</w:t>
      </w:r>
      <w:r w:rsidR="00AC1E89">
        <w:rPr>
          <w:sz w:val="22"/>
          <w:szCs w:val="22"/>
        </w:rPr>
        <w:t>’</w:t>
      </w:r>
      <w:r>
        <w:rPr>
          <w:sz w:val="22"/>
          <w:szCs w:val="22"/>
        </w:rPr>
        <w:t xml:space="preserve"> (those with 1-9 employees) make to Northern Ireland’s economy</w:t>
      </w:r>
      <w:r w:rsidR="007F57D8">
        <w:rPr>
          <w:sz w:val="22"/>
          <w:szCs w:val="22"/>
        </w:rPr>
        <w:t xml:space="preserve"> and compared this with the rest of the UK, the Republic of Ireland and the USA</w:t>
      </w:r>
      <w:r>
        <w:rPr>
          <w:sz w:val="22"/>
          <w:szCs w:val="22"/>
        </w:rPr>
        <w:t xml:space="preserve">. </w:t>
      </w:r>
    </w:p>
    <w:p w14:paraId="76BB2CCF" w14:textId="77777777" w:rsidR="002F17D8" w:rsidRDefault="002F17D8" w:rsidP="004C61CF">
      <w:pPr>
        <w:spacing w:line="276" w:lineRule="auto"/>
        <w:rPr>
          <w:sz w:val="22"/>
          <w:szCs w:val="22"/>
        </w:rPr>
      </w:pPr>
    </w:p>
    <w:p w14:paraId="0525F48D" w14:textId="556AE12E" w:rsidR="008A7F23" w:rsidRDefault="008A7F23" w:rsidP="004C61CF">
      <w:pPr>
        <w:spacing w:line="276" w:lineRule="auto"/>
        <w:rPr>
          <w:sz w:val="22"/>
          <w:szCs w:val="22"/>
        </w:rPr>
      </w:pPr>
      <w:r w:rsidRPr="00C3199D">
        <w:rPr>
          <w:sz w:val="22"/>
          <w:szCs w:val="22"/>
        </w:rPr>
        <w:t>There are currently around 28,500 micro-businesses employing 111,000 people (19.7</w:t>
      </w:r>
      <w:r w:rsidR="007F57D8">
        <w:rPr>
          <w:sz w:val="22"/>
          <w:szCs w:val="22"/>
        </w:rPr>
        <w:t>%</w:t>
      </w:r>
      <w:r w:rsidRPr="00C3199D">
        <w:rPr>
          <w:sz w:val="22"/>
          <w:szCs w:val="22"/>
        </w:rPr>
        <w:t xml:space="preserve"> of the workforce) in NI. In 2017 these firms generated sales of £10.4bn</w:t>
      </w:r>
      <w:r w:rsidR="007F57D8">
        <w:rPr>
          <w:sz w:val="22"/>
          <w:szCs w:val="22"/>
        </w:rPr>
        <w:t>, with</w:t>
      </w:r>
      <w:r w:rsidR="002F17D8">
        <w:rPr>
          <w:sz w:val="22"/>
          <w:szCs w:val="22"/>
        </w:rPr>
        <w:t xml:space="preserve"> 90% of micros in NI trad</w:t>
      </w:r>
      <w:r w:rsidR="007F57D8">
        <w:rPr>
          <w:sz w:val="22"/>
          <w:szCs w:val="22"/>
        </w:rPr>
        <w:t>ing</w:t>
      </w:r>
      <w:r w:rsidR="002F17D8">
        <w:rPr>
          <w:sz w:val="22"/>
          <w:szCs w:val="22"/>
        </w:rPr>
        <w:t xml:space="preserve"> profitably in the most recent year</w:t>
      </w:r>
      <w:r w:rsidR="007F57D8">
        <w:rPr>
          <w:sz w:val="22"/>
          <w:szCs w:val="22"/>
        </w:rPr>
        <w:t xml:space="preserve"> -</w:t>
      </w:r>
      <w:r w:rsidR="002F17D8">
        <w:rPr>
          <w:sz w:val="22"/>
          <w:szCs w:val="22"/>
        </w:rPr>
        <w:t xml:space="preserve"> higher than any other part of the UK.</w:t>
      </w:r>
    </w:p>
    <w:p w14:paraId="3E1EAB9D" w14:textId="39AA8CFD" w:rsidR="002F17D8" w:rsidRDefault="002F17D8" w:rsidP="004C61CF">
      <w:pPr>
        <w:spacing w:line="276" w:lineRule="auto"/>
        <w:rPr>
          <w:sz w:val="22"/>
          <w:szCs w:val="22"/>
        </w:rPr>
      </w:pPr>
    </w:p>
    <w:p w14:paraId="5EEF8F6A" w14:textId="54D10AA2" w:rsidR="002F17D8" w:rsidRDefault="002F17D8" w:rsidP="004C61CF">
      <w:pPr>
        <w:spacing w:line="276" w:lineRule="auto"/>
        <w:rPr>
          <w:sz w:val="22"/>
          <w:szCs w:val="22"/>
        </w:rPr>
      </w:pPr>
      <w:r w:rsidRPr="009054B5">
        <w:rPr>
          <w:sz w:val="22"/>
          <w:szCs w:val="22"/>
        </w:rPr>
        <w:t xml:space="preserve">Around </w:t>
      </w:r>
      <w:r>
        <w:rPr>
          <w:sz w:val="22"/>
          <w:szCs w:val="22"/>
        </w:rPr>
        <w:t>one in three</w:t>
      </w:r>
      <w:r w:rsidRPr="009054B5">
        <w:rPr>
          <w:sz w:val="22"/>
          <w:szCs w:val="22"/>
        </w:rPr>
        <w:t xml:space="preserve"> micro-businesses in NI reported trading internationally, a slightly higher proportion than that in the UK as a whole</w:t>
      </w:r>
      <w:r>
        <w:rPr>
          <w:sz w:val="22"/>
          <w:szCs w:val="22"/>
        </w:rPr>
        <w:t>,</w:t>
      </w:r>
      <w:r w:rsidRPr="009054B5">
        <w:rPr>
          <w:sz w:val="22"/>
          <w:szCs w:val="22"/>
        </w:rPr>
        <w:t xml:space="preserve"> but lower than the 4</w:t>
      </w:r>
      <w:r>
        <w:rPr>
          <w:sz w:val="22"/>
          <w:szCs w:val="22"/>
        </w:rPr>
        <w:t>1%</w:t>
      </w:r>
      <w:r w:rsidRPr="009054B5">
        <w:rPr>
          <w:sz w:val="22"/>
          <w:szCs w:val="22"/>
        </w:rPr>
        <w:t xml:space="preserve"> of micro-businesses</w:t>
      </w:r>
      <w:r w:rsidR="007F57D8">
        <w:rPr>
          <w:sz w:val="22"/>
          <w:szCs w:val="22"/>
        </w:rPr>
        <w:t xml:space="preserve"> in the Republic of Ireland</w:t>
      </w:r>
      <w:r w:rsidRPr="009054B5">
        <w:rPr>
          <w:sz w:val="22"/>
          <w:szCs w:val="22"/>
        </w:rPr>
        <w:t xml:space="preserve"> reporting international sales</w:t>
      </w:r>
      <w:r w:rsidR="00316D10">
        <w:rPr>
          <w:sz w:val="22"/>
          <w:szCs w:val="22"/>
        </w:rPr>
        <w:t>.</w:t>
      </w:r>
    </w:p>
    <w:p w14:paraId="18B4B2E0" w14:textId="673EE81B" w:rsidR="008A7F23" w:rsidRDefault="008A7F23" w:rsidP="004C61CF">
      <w:pPr>
        <w:spacing w:line="276" w:lineRule="auto"/>
        <w:rPr>
          <w:sz w:val="22"/>
          <w:szCs w:val="22"/>
        </w:rPr>
      </w:pPr>
    </w:p>
    <w:p w14:paraId="493BAA8A" w14:textId="1F40D4C3" w:rsidR="009054B5" w:rsidRDefault="009B35D7" w:rsidP="004C61CF">
      <w:pPr>
        <w:spacing w:line="276" w:lineRule="auto"/>
        <w:rPr>
          <w:sz w:val="22"/>
          <w:szCs w:val="22"/>
        </w:rPr>
      </w:pPr>
      <w:r>
        <w:rPr>
          <w:sz w:val="22"/>
          <w:szCs w:val="22"/>
        </w:rPr>
        <w:t>But it appears only a minority of NI micro-firms have ambitions to scale: nearly 8 in 10 wish to keep their business at the same size, with only 18% reporting an ambition to scale to ‘national or international’ size.</w:t>
      </w:r>
    </w:p>
    <w:p w14:paraId="152F036D" w14:textId="47A3241F" w:rsidR="00AC1E89" w:rsidRDefault="00AC1E89" w:rsidP="004C61CF">
      <w:pPr>
        <w:spacing w:line="276" w:lineRule="auto"/>
        <w:rPr>
          <w:sz w:val="22"/>
          <w:szCs w:val="22"/>
        </w:rPr>
      </w:pPr>
    </w:p>
    <w:p w14:paraId="58AD8397" w14:textId="043EB404" w:rsidR="00AC1E89" w:rsidRDefault="00AC1E89" w:rsidP="004C61CF">
      <w:pPr>
        <w:spacing w:line="276" w:lineRule="auto"/>
        <w:rPr>
          <w:sz w:val="22"/>
          <w:szCs w:val="22"/>
        </w:rPr>
      </w:pPr>
      <w:r>
        <w:rPr>
          <w:sz w:val="22"/>
          <w:szCs w:val="22"/>
        </w:rPr>
        <w:t xml:space="preserve">The new reports follow findings from the ERC’s </w:t>
      </w:r>
      <w:hyperlink r:id="rId9" w:history="1">
        <w:r w:rsidRPr="00AC1E89">
          <w:rPr>
            <w:rStyle w:val="Hyperlink"/>
            <w:sz w:val="22"/>
            <w:szCs w:val="22"/>
          </w:rPr>
          <w:t>Local Growth Dashboard 2018</w:t>
        </w:r>
      </w:hyperlink>
      <w:r>
        <w:rPr>
          <w:sz w:val="22"/>
          <w:szCs w:val="22"/>
        </w:rPr>
        <w:t>, published earlier this year, which showed that Northern Ireland had the highest rate of firms reaching their first £1m turnover within three years of any UK region, as well as recording some of the biggest increases in productivity in recent years.</w:t>
      </w:r>
    </w:p>
    <w:p w14:paraId="2BA7E2C6" w14:textId="62B38637" w:rsidR="009B35D7" w:rsidRDefault="009B35D7" w:rsidP="004C61CF">
      <w:pPr>
        <w:spacing w:line="276" w:lineRule="auto"/>
        <w:rPr>
          <w:sz w:val="22"/>
          <w:szCs w:val="22"/>
        </w:rPr>
      </w:pPr>
    </w:p>
    <w:p w14:paraId="74F717F3" w14:textId="2ADE99C2" w:rsidR="00AF0AB3" w:rsidRDefault="00AF0AB3" w:rsidP="004C61CF">
      <w:pPr>
        <w:spacing w:line="276" w:lineRule="auto"/>
        <w:rPr>
          <w:sz w:val="22"/>
          <w:szCs w:val="22"/>
        </w:rPr>
      </w:pPr>
      <w:r>
        <w:rPr>
          <w:sz w:val="22"/>
          <w:szCs w:val="22"/>
        </w:rPr>
        <w:t>Nola Hewitt-Dundas</w:t>
      </w:r>
      <w:r w:rsidR="00DA7624">
        <w:rPr>
          <w:sz w:val="22"/>
          <w:szCs w:val="22"/>
        </w:rPr>
        <w:t xml:space="preserve">, </w:t>
      </w:r>
      <w:r w:rsidR="00DA7624" w:rsidRPr="00DA7624">
        <w:rPr>
          <w:sz w:val="22"/>
          <w:szCs w:val="22"/>
        </w:rPr>
        <w:t>Professor of Innovation Management and Policy at Queen's University Belfast</w:t>
      </w:r>
      <w:r w:rsidR="00DA7624">
        <w:rPr>
          <w:sz w:val="22"/>
          <w:szCs w:val="22"/>
        </w:rPr>
        <w:t xml:space="preserve"> and a senior research associate at </w:t>
      </w:r>
      <w:r>
        <w:rPr>
          <w:sz w:val="22"/>
          <w:szCs w:val="22"/>
        </w:rPr>
        <w:t>the Enterprise Research Centre, said:</w:t>
      </w:r>
    </w:p>
    <w:p w14:paraId="027E2B2C" w14:textId="1BB2CD81" w:rsidR="00AF0AB3" w:rsidRDefault="00AF0AB3" w:rsidP="004C61CF">
      <w:pPr>
        <w:spacing w:line="276" w:lineRule="auto"/>
        <w:rPr>
          <w:sz w:val="22"/>
          <w:szCs w:val="22"/>
        </w:rPr>
      </w:pPr>
    </w:p>
    <w:p w14:paraId="35827EDE" w14:textId="267B423D" w:rsidR="00AF0AB3" w:rsidRDefault="002B0BA2" w:rsidP="004C61CF">
      <w:pPr>
        <w:spacing w:line="276" w:lineRule="auto"/>
        <w:ind w:left="720"/>
        <w:rPr>
          <w:sz w:val="22"/>
          <w:szCs w:val="22"/>
        </w:rPr>
      </w:pPr>
      <w:r>
        <w:rPr>
          <w:sz w:val="22"/>
          <w:szCs w:val="22"/>
        </w:rPr>
        <w:t xml:space="preserve">“While Northern Ireland has always been somewhat behind the rest of the UK for start-up activity, it’s clear from our research that entrepreneurs who do take the plunge here often </w:t>
      </w:r>
      <w:r w:rsidR="00AC1E89">
        <w:rPr>
          <w:sz w:val="22"/>
          <w:szCs w:val="22"/>
        </w:rPr>
        <w:t>succeed in</w:t>
      </w:r>
      <w:r>
        <w:rPr>
          <w:sz w:val="22"/>
          <w:szCs w:val="22"/>
        </w:rPr>
        <w:t xml:space="preserve"> grow</w:t>
      </w:r>
      <w:r w:rsidR="00AC1E89">
        <w:rPr>
          <w:sz w:val="22"/>
          <w:szCs w:val="22"/>
        </w:rPr>
        <w:t>ing</w:t>
      </w:r>
      <w:r>
        <w:rPr>
          <w:sz w:val="22"/>
          <w:szCs w:val="22"/>
        </w:rPr>
        <w:t xml:space="preserve"> their businesses quickly and profitably. </w:t>
      </w:r>
    </w:p>
    <w:p w14:paraId="78DC4FAD" w14:textId="36E990D7" w:rsidR="002B0BA2" w:rsidRDefault="002B0BA2" w:rsidP="004C61CF">
      <w:pPr>
        <w:spacing w:line="276" w:lineRule="auto"/>
        <w:ind w:left="720"/>
        <w:rPr>
          <w:sz w:val="22"/>
          <w:szCs w:val="22"/>
        </w:rPr>
      </w:pPr>
    </w:p>
    <w:p w14:paraId="39665EA6" w14:textId="05BDECFD" w:rsidR="002B0BA2" w:rsidRDefault="002B0BA2" w:rsidP="004C61CF">
      <w:pPr>
        <w:spacing w:line="276" w:lineRule="auto"/>
        <w:ind w:left="720"/>
        <w:rPr>
          <w:sz w:val="22"/>
          <w:szCs w:val="22"/>
        </w:rPr>
      </w:pPr>
      <w:r>
        <w:rPr>
          <w:sz w:val="22"/>
          <w:szCs w:val="22"/>
        </w:rPr>
        <w:t>“It’s also notable that among our smallest companies – who employ nearly 20% of people in Northern Ireland – we see relatively high rates of exporting, which isn’t that surprising given our proximity to the UK’s only land border with the EU.</w:t>
      </w:r>
      <w:r w:rsidR="00DA7624">
        <w:rPr>
          <w:sz w:val="22"/>
          <w:szCs w:val="22"/>
        </w:rPr>
        <w:t>”</w:t>
      </w:r>
    </w:p>
    <w:p w14:paraId="2ECF62EA" w14:textId="6512831F" w:rsidR="00DA7624" w:rsidRDefault="00DA7624" w:rsidP="00DA7624">
      <w:pPr>
        <w:spacing w:line="276" w:lineRule="auto"/>
        <w:rPr>
          <w:sz w:val="22"/>
          <w:szCs w:val="22"/>
        </w:rPr>
      </w:pPr>
    </w:p>
    <w:p w14:paraId="123D2D7B" w14:textId="188CDE2A" w:rsidR="00DA7624" w:rsidRDefault="00DA7624" w:rsidP="00DA7624">
      <w:pPr>
        <w:spacing w:line="276" w:lineRule="auto"/>
        <w:rPr>
          <w:sz w:val="22"/>
          <w:szCs w:val="22"/>
        </w:rPr>
      </w:pPr>
      <w:r>
        <w:rPr>
          <w:sz w:val="22"/>
          <w:szCs w:val="22"/>
        </w:rPr>
        <w:lastRenderedPageBreak/>
        <w:t xml:space="preserve">Mark Hart, Professor of </w:t>
      </w:r>
      <w:r w:rsidR="00A131E2">
        <w:rPr>
          <w:sz w:val="22"/>
          <w:szCs w:val="22"/>
        </w:rPr>
        <w:t xml:space="preserve">Small Business and </w:t>
      </w:r>
      <w:r>
        <w:rPr>
          <w:sz w:val="22"/>
          <w:szCs w:val="22"/>
        </w:rPr>
        <w:t xml:space="preserve">Entrepreneurship at Aston Business School and Deputy Director of the Enterprise Research Centre, said: </w:t>
      </w:r>
    </w:p>
    <w:p w14:paraId="642A33E2" w14:textId="42154D8D" w:rsidR="002B0BA2" w:rsidRDefault="002B0BA2" w:rsidP="004C61CF">
      <w:pPr>
        <w:spacing w:line="276" w:lineRule="auto"/>
        <w:ind w:left="720"/>
        <w:rPr>
          <w:sz w:val="22"/>
          <w:szCs w:val="22"/>
        </w:rPr>
      </w:pPr>
    </w:p>
    <w:p w14:paraId="464CFC01" w14:textId="7241C82A" w:rsidR="002B0BA2" w:rsidRDefault="002B0BA2" w:rsidP="004C61CF">
      <w:pPr>
        <w:spacing w:line="276" w:lineRule="auto"/>
        <w:ind w:left="720"/>
        <w:rPr>
          <w:sz w:val="22"/>
          <w:szCs w:val="22"/>
        </w:rPr>
      </w:pPr>
      <w:r>
        <w:rPr>
          <w:sz w:val="22"/>
          <w:szCs w:val="22"/>
        </w:rPr>
        <w:t>“The danger is that unless we see a Brexit deal that enables the free flow of trade across an open border, we could turn the clock back on some of the enterprise progress we’ve seen of late.</w:t>
      </w:r>
    </w:p>
    <w:p w14:paraId="60A8D57D" w14:textId="4812FB58" w:rsidR="002B0BA2" w:rsidRDefault="002B0BA2" w:rsidP="004C61CF">
      <w:pPr>
        <w:spacing w:line="276" w:lineRule="auto"/>
        <w:ind w:left="720"/>
        <w:rPr>
          <w:sz w:val="22"/>
          <w:szCs w:val="22"/>
        </w:rPr>
      </w:pPr>
    </w:p>
    <w:p w14:paraId="1B413E21" w14:textId="238E7103" w:rsidR="002B0BA2" w:rsidRDefault="002B0BA2" w:rsidP="004C61CF">
      <w:pPr>
        <w:spacing w:line="276" w:lineRule="auto"/>
        <w:ind w:left="720"/>
        <w:rPr>
          <w:sz w:val="22"/>
          <w:szCs w:val="22"/>
        </w:rPr>
      </w:pPr>
      <w:r>
        <w:rPr>
          <w:sz w:val="22"/>
          <w:szCs w:val="22"/>
        </w:rPr>
        <w:t xml:space="preserve">“That would be bad news not just for the entrepreneurs and small firms who make such a big contribution to our economic vibrancy, but also to the larger companies and public sector bodies higher up </w:t>
      </w:r>
      <w:r w:rsidR="00AC1E89">
        <w:rPr>
          <w:sz w:val="22"/>
          <w:szCs w:val="22"/>
        </w:rPr>
        <w:t xml:space="preserve">supply </w:t>
      </w:r>
      <w:r>
        <w:rPr>
          <w:sz w:val="22"/>
          <w:szCs w:val="22"/>
        </w:rPr>
        <w:t>chain</w:t>
      </w:r>
      <w:r w:rsidR="00AA583A">
        <w:rPr>
          <w:sz w:val="22"/>
          <w:szCs w:val="22"/>
        </w:rPr>
        <w:t>s</w:t>
      </w:r>
      <w:r>
        <w:rPr>
          <w:sz w:val="22"/>
          <w:szCs w:val="22"/>
        </w:rPr>
        <w:t xml:space="preserve"> that rely on their goods and services.”</w:t>
      </w:r>
    </w:p>
    <w:p w14:paraId="77D984FD" w14:textId="6AF99AD3" w:rsidR="00AF7CA0" w:rsidRDefault="00AF7CA0" w:rsidP="004C61CF">
      <w:pPr>
        <w:spacing w:line="276" w:lineRule="auto"/>
        <w:rPr>
          <w:sz w:val="22"/>
          <w:szCs w:val="22"/>
        </w:rPr>
      </w:pPr>
    </w:p>
    <w:p w14:paraId="04B57450" w14:textId="77777777" w:rsidR="002B0BA2" w:rsidRPr="00106C14" w:rsidRDefault="002B0BA2" w:rsidP="004C61CF">
      <w:pPr>
        <w:spacing w:line="276" w:lineRule="auto"/>
        <w:rPr>
          <w:sz w:val="22"/>
          <w:szCs w:val="22"/>
          <w:lang w:val="en-GB"/>
        </w:rPr>
      </w:pPr>
    </w:p>
    <w:p w14:paraId="00071705" w14:textId="4BDF21C6" w:rsidR="00FB7262" w:rsidRPr="001A7341" w:rsidRDefault="00CB0C1A" w:rsidP="004C61CF">
      <w:pPr>
        <w:spacing w:line="276" w:lineRule="auto"/>
        <w:jc w:val="center"/>
        <w:rPr>
          <w:b/>
          <w:sz w:val="22"/>
          <w:szCs w:val="22"/>
          <w:lang w:val="en-GB"/>
        </w:rPr>
      </w:pPr>
      <w:r w:rsidRPr="00AD1B1A">
        <w:rPr>
          <w:b/>
          <w:sz w:val="22"/>
          <w:szCs w:val="22"/>
          <w:lang w:val="en-GB"/>
        </w:rPr>
        <w:t>ENDS</w:t>
      </w:r>
    </w:p>
    <w:p w14:paraId="2B0AC980" w14:textId="77777777" w:rsidR="006320AE" w:rsidRPr="00AD1B1A" w:rsidRDefault="006320AE" w:rsidP="004C61CF">
      <w:pPr>
        <w:spacing w:line="276" w:lineRule="auto"/>
        <w:rPr>
          <w:b/>
          <w:sz w:val="22"/>
          <w:szCs w:val="22"/>
          <w:lang w:val="en-GB"/>
        </w:rPr>
      </w:pPr>
      <w:r w:rsidRPr="00AD1B1A">
        <w:rPr>
          <w:b/>
          <w:sz w:val="22"/>
          <w:szCs w:val="22"/>
          <w:lang w:val="en-GB"/>
        </w:rPr>
        <w:t>Notes to editors</w:t>
      </w:r>
    </w:p>
    <w:p w14:paraId="6AF87965" w14:textId="49103F8A" w:rsidR="00932AB1" w:rsidRPr="00260F32" w:rsidRDefault="00932AB1" w:rsidP="004C61CF">
      <w:pPr>
        <w:spacing w:line="276" w:lineRule="auto"/>
        <w:rPr>
          <w:sz w:val="22"/>
          <w:szCs w:val="22"/>
        </w:rPr>
      </w:pPr>
    </w:p>
    <w:p w14:paraId="5955F68D" w14:textId="77777777" w:rsidR="00932AB1" w:rsidRDefault="00932AB1" w:rsidP="004C61CF">
      <w:pPr>
        <w:spacing w:line="276" w:lineRule="auto"/>
        <w:rPr>
          <w:b/>
          <w:sz w:val="22"/>
          <w:szCs w:val="22"/>
        </w:rPr>
      </w:pPr>
    </w:p>
    <w:p w14:paraId="38DFEB11" w14:textId="67CE8DB1" w:rsidR="00DA7624" w:rsidRDefault="00DA7624" w:rsidP="004C61CF">
      <w:pPr>
        <w:pStyle w:val="ListParagraph"/>
        <w:numPr>
          <w:ilvl w:val="0"/>
          <w:numId w:val="8"/>
        </w:numPr>
        <w:spacing w:line="276" w:lineRule="auto"/>
        <w:rPr>
          <w:b/>
          <w:sz w:val="22"/>
          <w:szCs w:val="22"/>
        </w:rPr>
      </w:pPr>
      <w:r>
        <w:rPr>
          <w:b/>
          <w:sz w:val="22"/>
          <w:szCs w:val="22"/>
        </w:rPr>
        <w:t>Graphs</w:t>
      </w:r>
    </w:p>
    <w:p w14:paraId="7A1EB529" w14:textId="123DAA90" w:rsidR="00DA7624" w:rsidRDefault="00DA7624" w:rsidP="00DA7624">
      <w:pPr>
        <w:spacing w:line="276" w:lineRule="auto"/>
        <w:rPr>
          <w:b/>
          <w:sz w:val="22"/>
          <w:szCs w:val="22"/>
        </w:rPr>
      </w:pPr>
    </w:p>
    <w:p w14:paraId="62C514E0" w14:textId="0595FB24" w:rsidR="00DA7624" w:rsidRPr="00DA7624" w:rsidRDefault="00DA7624" w:rsidP="00DA7624">
      <w:pPr>
        <w:pStyle w:val="ListParagraph"/>
        <w:numPr>
          <w:ilvl w:val="0"/>
          <w:numId w:val="26"/>
        </w:numPr>
        <w:spacing w:line="276" w:lineRule="auto"/>
        <w:rPr>
          <w:sz w:val="22"/>
          <w:szCs w:val="22"/>
        </w:rPr>
      </w:pPr>
      <w:r w:rsidRPr="00DA7624">
        <w:rPr>
          <w:sz w:val="22"/>
          <w:szCs w:val="22"/>
        </w:rPr>
        <w:t>Total early-stage entrepreneurship (TEA) rate in Northern Ireland and the UK, 2002-2017</w:t>
      </w:r>
    </w:p>
    <w:p w14:paraId="1CB97802" w14:textId="77777777" w:rsidR="00DA7624" w:rsidRDefault="00DA7624" w:rsidP="00DA7624">
      <w:pPr>
        <w:spacing w:line="276" w:lineRule="auto"/>
        <w:rPr>
          <w:b/>
          <w:sz w:val="22"/>
          <w:szCs w:val="22"/>
        </w:rPr>
      </w:pPr>
    </w:p>
    <w:p w14:paraId="4E9B7A99" w14:textId="59BDCDC1" w:rsidR="00DA7624" w:rsidRPr="00DA7624" w:rsidRDefault="00DA7624" w:rsidP="00DA7624">
      <w:pPr>
        <w:spacing w:line="276" w:lineRule="auto"/>
        <w:rPr>
          <w:b/>
          <w:sz w:val="22"/>
          <w:szCs w:val="22"/>
        </w:rPr>
      </w:pPr>
      <w:r>
        <w:rPr>
          <w:noProof/>
          <w:lang w:val="en-GB" w:eastAsia="en-GB"/>
        </w:rPr>
        <w:drawing>
          <wp:inline distT="0" distB="0" distL="0" distR="0" wp14:anchorId="618B4804" wp14:editId="5EB9B3D4">
            <wp:extent cx="5334000" cy="3688080"/>
            <wp:effectExtent l="0" t="0" r="0" b="762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57904E" w14:textId="12358072" w:rsidR="00DA7624" w:rsidRPr="00DA7624" w:rsidRDefault="00DA7624" w:rsidP="00DA7624">
      <w:pPr>
        <w:pStyle w:val="ListParagraph"/>
        <w:numPr>
          <w:ilvl w:val="0"/>
          <w:numId w:val="26"/>
        </w:numPr>
        <w:spacing w:line="276" w:lineRule="auto"/>
        <w:rPr>
          <w:sz w:val="22"/>
          <w:szCs w:val="22"/>
        </w:rPr>
      </w:pPr>
      <w:r w:rsidRPr="00DA7624">
        <w:rPr>
          <w:sz w:val="22"/>
          <w:szCs w:val="22"/>
        </w:rPr>
        <w:t>Total early-stage Entrepreneurial Activity in Northern Ireland by Council Area, rolling averages 2002-2004 to 2015-2017</w:t>
      </w:r>
    </w:p>
    <w:p w14:paraId="0E54608C" w14:textId="4F5EDC86" w:rsidR="00DA7624" w:rsidRDefault="00DA7624" w:rsidP="00DA7624">
      <w:pPr>
        <w:spacing w:line="276" w:lineRule="auto"/>
        <w:rPr>
          <w:b/>
          <w:sz w:val="22"/>
          <w:szCs w:val="22"/>
        </w:rPr>
      </w:pPr>
    </w:p>
    <w:p w14:paraId="053EF1AD" w14:textId="4FC99949" w:rsidR="00DA7624" w:rsidRPr="00DA7624" w:rsidRDefault="00DA7624" w:rsidP="00DA7624">
      <w:pPr>
        <w:spacing w:line="276" w:lineRule="auto"/>
        <w:rPr>
          <w:b/>
          <w:sz w:val="22"/>
          <w:szCs w:val="22"/>
        </w:rPr>
      </w:pPr>
      <w:r>
        <w:rPr>
          <w:noProof/>
          <w:lang w:val="en-GB" w:eastAsia="en-GB"/>
        </w:rPr>
        <w:lastRenderedPageBreak/>
        <w:drawing>
          <wp:inline distT="0" distB="0" distL="0" distR="0" wp14:anchorId="040A5E9D" wp14:editId="49ED8DF4">
            <wp:extent cx="5394960" cy="4244340"/>
            <wp:effectExtent l="0" t="0" r="15240" b="3810"/>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A535EC" w14:textId="5CE94CBB" w:rsidR="00DA7624" w:rsidRDefault="00DA7624" w:rsidP="00DA7624">
      <w:pPr>
        <w:pStyle w:val="ListParagraph"/>
        <w:spacing w:line="276" w:lineRule="auto"/>
        <w:ind w:left="360"/>
        <w:rPr>
          <w:b/>
          <w:sz w:val="22"/>
          <w:szCs w:val="22"/>
        </w:rPr>
      </w:pPr>
    </w:p>
    <w:p w14:paraId="7D319266" w14:textId="77777777" w:rsidR="00A131E2" w:rsidRDefault="00A131E2" w:rsidP="00DA7624">
      <w:pPr>
        <w:pStyle w:val="ListParagraph"/>
        <w:spacing w:line="276" w:lineRule="auto"/>
        <w:ind w:left="360"/>
        <w:rPr>
          <w:b/>
          <w:sz w:val="22"/>
          <w:szCs w:val="22"/>
        </w:rPr>
      </w:pPr>
    </w:p>
    <w:p w14:paraId="7C925DB7" w14:textId="2E47AA13" w:rsidR="00971158" w:rsidRPr="00E03B5B" w:rsidRDefault="00E03B5B" w:rsidP="004C61CF">
      <w:pPr>
        <w:pStyle w:val="ListParagraph"/>
        <w:numPr>
          <w:ilvl w:val="0"/>
          <w:numId w:val="8"/>
        </w:numPr>
        <w:spacing w:line="276" w:lineRule="auto"/>
        <w:rPr>
          <w:b/>
          <w:sz w:val="22"/>
          <w:szCs w:val="22"/>
        </w:rPr>
      </w:pPr>
      <w:r>
        <w:rPr>
          <w:b/>
          <w:sz w:val="22"/>
          <w:szCs w:val="22"/>
        </w:rPr>
        <w:t>The Global Entrepreneurship Monitor (GEM)</w:t>
      </w:r>
    </w:p>
    <w:p w14:paraId="249FA1B2" w14:textId="77777777" w:rsidR="009B35D7" w:rsidRDefault="009B35D7" w:rsidP="004C61CF">
      <w:pPr>
        <w:spacing w:line="276" w:lineRule="auto"/>
        <w:rPr>
          <w:sz w:val="22"/>
          <w:szCs w:val="22"/>
        </w:rPr>
      </w:pPr>
    </w:p>
    <w:p w14:paraId="0058CF71" w14:textId="596D9AE0" w:rsidR="009B35D7" w:rsidRPr="009B35D7" w:rsidRDefault="009B35D7" w:rsidP="004C61CF">
      <w:pPr>
        <w:spacing w:line="276" w:lineRule="auto"/>
        <w:rPr>
          <w:sz w:val="22"/>
          <w:szCs w:val="22"/>
        </w:rPr>
      </w:pPr>
      <w:r w:rsidRPr="009B35D7">
        <w:rPr>
          <w:sz w:val="22"/>
          <w:szCs w:val="22"/>
        </w:rPr>
        <w:t xml:space="preserve">The GEM </w:t>
      </w:r>
      <w:r>
        <w:rPr>
          <w:sz w:val="22"/>
          <w:szCs w:val="22"/>
        </w:rPr>
        <w:t xml:space="preserve">Northern Ireland 2017 </w:t>
      </w:r>
      <w:r w:rsidRPr="009B35D7">
        <w:rPr>
          <w:sz w:val="22"/>
          <w:szCs w:val="22"/>
        </w:rPr>
        <w:t>report was co-authored by Professor Mark Hart of Aston University in Birmingham, Dr Karen Bonner of Queens University Belfast, Professor Jonathan Levie of the University of Strathclyde and Laura Heery of Ulster University.</w:t>
      </w:r>
    </w:p>
    <w:p w14:paraId="0E9EBAC2" w14:textId="77777777" w:rsidR="009B35D7" w:rsidRDefault="009B35D7" w:rsidP="004C61CF">
      <w:pPr>
        <w:spacing w:line="276" w:lineRule="auto"/>
        <w:rPr>
          <w:sz w:val="22"/>
          <w:szCs w:val="22"/>
        </w:rPr>
      </w:pPr>
    </w:p>
    <w:p w14:paraId="44A67EDA" w14:textId="425D414B" w:rsidR="009B35D7" w:rsidRDefault="009B35D7" w:rsidP="004C61CF">
      <w:pPr>
        <w:spacing w:line="276" w:lineRule="auto"/>
        <w:rPr>
          <w:sz w:val="22"/>
          <w:szCs w:val="22"/>
          <w:lang w:val="en-GB"/>
        </w:rPr>
      </w:pPr>
      <w:r w:rsidRPr="00E03B5B">
        <w:rPr>
          <w:sz w:val="22"/>
          <w:szCs w:val="22"/>
        </w:rPr>
        <w:t>The sample size in Northern Ireland in 2017 was 1,012 adults over 18 years of age.</w:t>
      </w:r>
      <w:r>
        <w:rPr>
          <w:sz w:val="22"/>
          <w:szCs w:val="22"/>
        </w:rPr>
        <w:t xml:space="preserve"> </w:t>
      </w:r>
      <w:r w:rsidRPr="00AE5ABF">
        <w:rPr>
          <w:sz w:val="22"/>
          <w:szCs w:val="22"/>
          <w:lang w:val="en-GB"/>
        </w:rPr>
        <w:t>Of the 326,000 respondents to GEM UK surveys for the period 2002-2017, almost 40,000 respondents were from Northern Ireland.</w:t>
      </w:r>
    </w:p>
    <w:p w14:paraId="7B8C8E17" w14:textId="45FB5C8A" w:rsidR="00562DAE" w:rsidRDefault="00562DAE" w:rsidP="004C61CF">
      <w:pPr>
        <w:spacing w:line="276" w:lineRule="auto"/>
        <w:rPr>
          <w:sz w:val="22"/>
          <w:szCs w:val="22"/>
        </w:rPr>
      </w:pPr>
    </w:p>
    <w:p w14:paraId="3257B045" w14:textId="403BC4A7" w:rsidR="009B35D7" w:rsidRDefault="00E03B5B" w:rsidP="004C61CF">
      <w:pPr>
        <w:spacing w:line="276" w:lineRule="auto"/>
        <w:rPr>
          <w:sz w:val="22"/>
          <w:szCs w:val="22"/>
        </w:rPr>
      </w:pPr>
      <w:r w:rsidRPr="00E03B5B">
        <w:rPr>
          <w:sz w:val="22"/>
          <w:szCs w:val="22"/>
        </w:rPr>
        <w:t xml:space="preserve">The Global Entrepreneurship Monitor (GEM) is an international project, involving 54 economies </w:t>
      </w:r>
      <w:r w:rsidR="009B35D7">
        <w:rPr>
          <w:sz w:val="22"/>
          <w:szCs w:val="22"/>
        </w:rPr>
        <w:t xml:space="preserve">covering 68% of the world’s population </w:t>
      </w:r>
      <w:r w:rsidRPr="00E03B5B">
        <w:rPr>
          <w:sz w:val="22"/>
          <w:szCs w:val="22"/>
        </w:rPr>
        <w:t xml:space="preserve">in 2017, which seeks to provide information on the entrepreneurial landscape of countries.  Many studies have shown that entrepreneurship is an important driver for economic growth, competitiveness and job creation. The results of the GEM data analysis are used as key benchmarking indicators by regional and national authorities around the world.  </w:t>
      </w:r>
    </w:p>
    <w:p w14:paraId="4B563D0C" w14:textId="77777777" w:rsidR="00562DAE" w:rsidRPr="00562DAE" w:rsidRDefault="00562DAE" w:rsidP="004C61CF">
      <w:pPr>
        <w:spacing w:line="276" w:lineRule="auto"/>
        <w:rPr>
          <w:b/>
          <w:sz w:val="22"/>
          <w:szCs w:val="22"/>
        </w:rPr>
      </w:pPr>
    </w:p>
    <w:p w14:paraId="556B06E9" w14:textId="77777777" w:rsidR="002B53A1" w:rsidRDefault="002B53A1" w:rsidP="004C61CF">
      <w:pPr>
        <w:spacing w:line="276" w:lineRule="auto"/>
        <w:rPr>
          <w:b/>
          <w:sz w:val="22"/>
          <w:szCs w:val="22"/>
        </w:rPr>
      </w:pPr>
    </w:p>
    <w:p w14:paraId="7CCD9471" w14:textId="77777777" w:rsidR="00644531" w:rsidRDefault="00644531" w:rsidP="004C61CF">
      <w:pPr>
        <w:spacing w:line="276" w:lineRule="auto"/>
        <w:rPr>
          <w:b/>
          <w:sz w:val="22"/>
          <w:szCs w:val="22"/>
        </w:rPr>
      </w:pPr>
    </w:p>
    <w:p w14:paraId="75C49D5F" w14:textId="77777777" w:rsidR="00644531" w:rsidRDefault="00644531" w:rsidP="004C61CF">
      <w:pPr>
        <w:spacing w:line="276" w:lineRule="auto"/>
        <w:rPr>
          <w:b/>
          <w:sz w:val="22"/>
          <w:szCs w:val="22"/>
        </w:rPr>
      </w:pPr>
    </w:p>
    <w:p w14:paraId="12D63C20" w14:textId="77777777" w:rsidR="00644531" w:rsidRDefault="00644531" w:rsidP="004C61CF">
      <w:pPr>
        <w:spacing w:line="276" w:lineRule="auto"/>
        <w:rPr>
          <w:b/>
          <w:sz w:val="22"/>
          <w:szCs w:val="22"/>
        </w:rPr>
      </w:pPr>
    </w:p>
    <w:p w14:paraId="199C1A1E" w14:textId="49F4F515" w:rsidR="00E05FB9" w:rsidRPr="00E05FB9" w:rsidRDefault="00E05FB9" w:rsidP="004C61CF">
      <w:pPr>
        <w:spacing w:line="276" w:lineRule="auto"/>
        <w:rPr>
          <w:b/>
          <w:sz w:val="22"/>
          <w:szCs w:val="22"/>
        </w:rPr>
      </w:pPr>
      <w:bookmarkStart w:id="1" w:name="_GoBack"/>
      <w:bookmarkEnd w:id="1"/>
      <w:r w:rsidRPr="00E05FB9">
        <w:rPr>
          <w:b/>
          <w:sz w:val="22"/>
          <w:szCs w:val="22"/>
        </w:rPr>
        <w:lastRenderedPageBreak/>
        <w:t xml:space="preserve">About the Enterprise Research Centre </w:t>
      </w:r>
    </w:p>
    <w:p w14:paraId="7F4D9FB9" w14:textId="77777777" w:rsidR="00E05FB9" w:rsidRDefault="00E05FB9" w:rsidP="004C61CF">
      <w:pPr>
        <w:spacing w:line="276" w:lineRule="auto"/>
        <w:rPr>
          <w:sz w:val="22"/>
          <w:szCs w:val="22"/>
        </w:rPr>
      </w:pPr>
    </w:p>
    <w:p w14:paraId="3FC7DA31" w14:textId="2BBF37E0" w:rsidR="00E05FB9" w:rsidRPr="00E05FB9" w:rsidRDefault="00E05FB9" w:rsidP="004C61CF">
      <w:pPr>
        <w:spacing w:line="276" w:lineRule="auto"/>
        <w:rPr>
          <w:sz w:val="22"/>
          <w:szCs w:val="22"/>
        </w:rPr>
      </w:pPr>
      <w:r w:rsidRPr="00E05FB9">
        <w:rPr>
          <w:sz w:val="22"/>
          <w:szCs w:val="22"/>
        </w:rPr>
        <w:t xml:space="preserve">ERC is the UK’s leading independent research institute on the drivers behind the growth and </w:t>
      </w:r>
      <w:r w:rsidR="006B327E">
        <w:rPr>
          <w:sz w:val="22"/>
          <w:szCs w:val="22"/>
        </w:rPr>
        <w:t>productivity</w:t>
      </w:r>
      <w:r w:rsidRPr="00E05FB9">
        <w:rPr>
          <w:sz w:val="22"/>
          <w:szCs w:val="22"/>
        </w:rPr>
        <w:t xml:space="preserve"> of small and m</w:t>
      </w:r>
      <w:r>
        <w:rPr>
          <w:sz w:val="22"/>
          <w:szCs w:val="22"/>
        </w:rPr>
        <w:t>edium-sized enterprises (SMEs).</w:t>
      </w:r>
      <w:r w:rsidR="000401DD">
        <w:rPr>
          <w:sz w:val="22"/>
          <w:szCs w:val="22"/>
        </w:rPr>
        <w:t xml:space="preserve"> It is funded by the Department for Business, Energy and Industrial St</w:t>
      </w:r>
      <w:r w:rsidR="008D1A73">
        <w:rPr>
          <w:sz w:val="22"/>
          <w:szCs w:val="22"/>
        </w:rPr>
        <w:t>r</w:t>
      </w:r>
      <w:r w:rsidR="000401DD">
        <w:rPr>
          <w:sz w:val="22"/>
          <w:szCs w:val="22"/>
        </w:rPr>
        <w:t>ategy (BEIS), the Economic and Social Research Council (ESRC), Innovate UK</w:t>
      </w:r>
      <w:r w:rsidR="008D1A73">
        <w:rPr>
          <w:sz w:val="22"/>
          <w:szCs w:val="22"/>
        </w:rPr>
        <w:t>, The Intellectual Property Office (IPO)</w:t>
      </w:r>
      <w:r w:rsidR="000401DD">
        <w:rPr>
          <w:sz w:val="22"/>
          <w:szCs w:val="22"/>
        </w:rPr>
        <w:t xml:space="preserve"> and the British Business Bank (BBB).</w:t>
      </w:r>
    </w:p>
    <w:p w14:paraId="36FC37FC" w14:textId="5C54E662" w:rsidR="00E05FB9" w:rsidRPr="00E05FB9" w:rsidRDefault="00E05FB9" w:rsidP="004C61CF">
      <w:pPr>
        <w:spacing w:line="276" w:lineRule="auto"/>
        <w:rPr>
          <w:sz w:val="22"/>
          <w:szCs w:val="22"/>
        </w:rPr>
      </w:pPr>
      <w:r w:rsidRPr="00E05FB9">
        <w:rPr>
          <w:sz w:val="22"/>
          <w:szCs w:val="22"/>
        </w:rPr>
        <w:t>ERC is producing the new knowledge around SMEs that will allow us to create a business-friendly environment nationwide, grounded in hard evidence. We want to understand what makes entrepreneurs and firms thrive so we can spread the lessons from best practice and make th</w:t>
      </w:r>
      <w:r>
        <w:rPr>
          <w:sz w:val="22"/>
          <w:szCs w:val="22"/>
        </w:rPr>
        <w:t xml:space="preserve">e UK a more successful </w:t>
      </w:r>
      <w:r w:rsidR="006B327E">
        <w:rPr>
          <w:sz w:val="22"/>
          <w:szCs w:val="22"/>
        </w:rPr>
        <w:t>economy</w:t>
      </w:r>
      <w:r>
        <w:rPr>
          <w:sz w:val="22"/>
          <w:szCs w:val="22"/>
        </w:rPr>
        <w:t>.</w:t>
      </w:r>
    </w:p>
    <w:p w14:paraId="663E845D" w14:textId="58452D5E" w:rsidR="00E05FB9" w:rsidRPr="00E05FB9" w:rsidRDefault="00E05FB9" w:rsidP="004C61CF">
      <w:pPr>
        <w:spacing w:line="276" w:lineRule="auto"/>
        <w:rPr>
          <w:sz w:val="22"/>
          <w:szCs w:val="22"/>
        </w:rPr>
      </w:pPr>
      <w:r w:rsidRPr="00E05FB9">
        <w:rPr>
          <w:sz w:val="22"/>
          <w:szCs w:val="22"/>
        </w:rPr>
        <w:t>The Centre is led by Professors Stephen Roper of Warwick</w:t>
      </w:r>
      <w:r>
        <w:rPr>
          <w:sz w:val="22"/>
          <w:szCs w:val="22"/>
        </w:rPr>
        <w:t xml:space="preserve"> Business School</w:t>
      </w:r>
      <w:r w:rsidRPr="00E05FB9">
        <w:rPr>
          <w:sz w:val="22"/>
          <w:szCs w:val="22"/>
        </w:rPr>
        <w:t xml:space="preserve"> and Mark Hart of Aston University</w:t>
      </w:r>
      <w:r w:rsidR="006A5E87">
        <w:rPr>
          <w:sz w:val="22"/>
          <w:szCs w:val="22"/>
        </w:rPr>
        <w:t>, Birmingham</w:t>
      </w:r>
      <w:r w:rsidRPr="00E05FB9">
        <w:rPr>
          <w:sz w:val="22"/>
          <w:szCs w:val="22"/>
        </w:rPr>
        <w:t>. Our senior researchers are world-class academics from both Aston and Warwick Universities as well as from our partner institutions which include Imperial College, Queens University Belfast and</w:t>
      </w:r>
      <w:r>
        <w:rPr>
          <w:sz w:val="22"/>
          <w:szCs w:val="22"/>
        </w:rPr>
        <w:t xml:space="preserve"> the University of Strathclyde.</w:t>
      </w:r>
    </w:p>
    <w:p w14:paraId="67279A7E" w14:textId="405733DA" w:rsidR="00E05FB9" w:rsidRDefault="00CD657C" w:rsidP="004C61CF">
      <w:pPr>
        <w:spacing w:line="276" w:lineRule="auto"/>
        <w:rPr>
          <w:sz w:val="22"/>
          <w:szCs w:val="22"/>
        </w:rPr>
      </w:pPr>
      <w:hyperlink r:id="rId12" w:history="1">
        <w:r w:rsidR="00E05FB9" w:rsidRPr="00324C35">
          <w:rPr>
            <w:rStyle w:val="Hyperlink"/>
            <w:sz w:val="22"/>
            <w:szCs w:val="22"/>
          </w:rPr>
          <w:t>http://www.enterpriseresearch.ac.uk</w:t>
        </w:r>
      </w:hyperlink>
      <w:r w:rsidR="00E05FB9">
        <w:rPr>
          <w:sz w:val="22"/>
          <w:szCs w:val="22"/>
        </w:rPr>
        <w:t xml:space="preserve"> </w:t>
      </w:r>
    </w:p>
    <w:p w14:paraId="4EDAB351" w14:textId="77777777" w:rsidR="00E05FB9" w:rsidRPr="00BF5D87" w:rsidRDefault="00E05FB9" w:rsidP="004C61CF">
      <w:pPr>
        <w:spacing w:line="276" w:lineRule="auto"/>
        <w:rPr>
          <w:sz w:val="22"/>
          <w:szCs w:val="22"/>
        </w:rPr>
      </w:pPr>
    </w:p>
    <w:p w14:paraId="5E16C0BA" w14:textId="77777777" w:rsidR="00AD1B1A" w:rsidRPr="00887452" w:rsidRDefault="00AD1B1A" w:rsidP="004C61CF">
      <w:pPr>
        <w:spacing w:line="276" w:lineRule="auto"/>
        <w:rPr>
          <w:b/>
          <w:sz w:val="22"/>
          <w:szCs w:val="22"/>
          <w:lang w:val="fr-FR"/>
        </w:rPr>
      </w:pPr>
      <w:r w:rsidRPr="00887452">
        <w:rPr>
          <w:b/>
          <w:sz w:val="22"/>
          <w:szCs w:val="22"/>
          <w:lang w:val="fr-FR"/>
        </w:rPr>
        <w:t>Contact</w:t>
      </w:r>
    </w:p>
    <w:p w14:paraId="3A65C72B" w14:textId="4503156B" w:rsidR="00400C48" w:rsidRDefault="00AD1B1A" w:rsidP="004C61CF">
      <w:pPr>
        <w:spacing w:line="276" w:lineRule="auto"/>
        <w:rPr>
          <w:sz w:val="22"/>
          <w:szCs w:val="22"/>
        </w:rPr>
      </w:pPr>
      <w:r w:rsidRPr="00AD1B1A">
        <w:rPr>
          <w:sz w:val="22"/>
          <w:szCs w:val="22"/>
        </w:rPr>
        <w:t xml:space="preserve">For further information, please contact James Tout at Journalista on 07989 610 276 or email </w:t>
      </w:r>
      <w:hyperlink r:id="rId13" w:history="1">
        <w:r w:rsidRPr="00AD1B1A">
          <w:rPr>
            <w:rStyle w:val="Hyperlink"/>
            <w:sz w:val="22"/>
            <w:szCs w:val="22"/>
          </w:rPr>
          <w:t>james@journalista.co.uk</w:t>
        </w:r>
      </w:hyperlink>
      <w:r w:rsidRPr="00AD1B1A">
        <w:rPr>
          <w:sz w:val="22"/>
          <w:szCs w:val="22"/>
        </w:rPr>
        <w:t xml:space="preserve">. </w:t>
      </w:r>
    </w:p>
    <w:bookmarkEnd w:id="0"/>
    <w:p w14:paraId="6D9690FD" w14:textId="77777777" w:rsidR="00400C48" w:rsidRPr="00AD1B1A" w:rsidRDefault="00400C48" w:rsidP="00161BD0">
      <w:pPr>
        <w:rPr>
          <w:sz w:val="22"/>
          <w:szCs w:val="22"/>
        </w:rPr>
      </w:pPr>
    </w:p>
    <w:sectPr w:rsidR="00400C48" w:rsidRPr="00AD1B1A" w:rsidSect="008E327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CBC32" w14:textId="77777777" w:rsidR="00CD657C" w:rsidRDefault="00CD657C" w:rsidP="000E6899">
      <w:r>
        <w:separator/>
      </w:r>
    </w:p>
  </w:endnote>
  <w:endnote w:type="continuationSeparator" w:id="0">
    <w:p w14:paraId="41B965B3" w14:textId="77777777" w:rsidR="00CD657C" w:rsidRDefault="00CD657C" w:rsidP="000E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5A86B" w14:textId="77777777" w:rsidR="00CD657C" w:rsidRDefault="00CD657C" w:rsidP="000E6899">
      <w:r>
        <w:separator/>
      </w:r>
    </w:p>
  </w:footnote>
  <w:footnote w:type="continuationSeparator" w:id="0">
    <w:p w14:paraId="4BB6AFFA" w14:textId="77777777" w:rsidR="00CD657C" w:rsidRDefault="00CD657C" w:rsidP="000E68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1C8F"/>
    <w:multiLevelType w:val="hybridMultilevel"/>
    <w:tmpl w:val="A3CE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34D8E"/>
    <w:multiLevelType w:val="hybridMultilevel"/>
    <w:tmpl w:val="001C89C4"/>
    <w:lvl w:ilvl="0" w:tplc="8C8EA796">
      <w:start w:val="1"/>
      <w:numFmt w:val="bullet"/>
      <w:lvlText w:val="•"/>
      <w:lvlJc w:val="left"/>
      <w:pPr>
        <w:tabs>
          <w:tab w:val="num" w:pos="720"/>
        </w:tabs>
        <w:ind w:left="720" w:hanging="360"/>
      </w:pPr>
      <w:rPr>
        <w:rFonts w:ascii="Arial" w:hAnsi="Arial" w:hint="default"/>
      </w:rPr>
    </w:lvl>
    <w:lvl w:ilvl="1" w:tplc="C03A0CCC" w:tentative="1">
      <w:start w:val="1"/>
      <w:numFmt w:val="bullet"/>
      <w:lvlText w:val="•"/>
      <w:lvlJc w:val="left"/>
      <w:pPr>
        <w:tabs>
          <w:tab w:val="num" w:pos="1440"/>
        </w:tabs>
        <w:ind w:left="1440" w:hanging="360"/>
      </w:pPr>
      <w:rPr>
        <w:rFonts w:ascii="Arial" w:hAnsi="Arial" w:hint="default"/>
      </w:rPr>
    </w:lvl>
    <w:lvl w:ilvl="2" w:tplc="60203968" w:tentative="1">
      <w:start w:val="1"/>
      <w:numFmt w:val="bullet"/>
      <w:lvlText w:val="•"/>
      <w:lvlJc w:val="left"/>
      <w:pPr>
        <w:tabs>
          <w:tab w:val="num" w:pos="2160"/>
        </w:tabs>
        <w:ind w:left="2160" w:hanging="360"/>
      </w:pPr>
      <w:rPr>
        <w:rFonts w:ascii="Arial" w:hAnsi="Arial" w:hint="default"/>
      </w:rPr>
    </w:lvl>
    <w:lvl w:ilvl="3" w:tplc="B9101450" w:tentative="1">
      <w:start w:val="1"/>
      <w:numFmt w:val="bullet"/>
      <w:lvlText w:val="•"/>
      <w:lvlJc w:val="left"/>
      <w:pPr>
        <w:tabs>
          <w:tab w:val="num" w:pos="2880"/>
        </w:tabs>
        <w:ind w:left="2880" w:hanging="360"/>
      </w:pPr>
      <w:rPr>
        <w:rFonts w:ascii="Arial" w:hAnsi="Arial" w:hint="default"/>
      </w:rPr>
    </w:lvl>
    <w:lvl w:ilvl="4" w:tplc="C124FE24" w:tentative="1">
      <w:start w:val="1"/>
      <w:numFmt w:val="bullet"/>
      <w:lvlText w:val="•"/>
      <w:lvlJc w:val="left"/>
      <w:pPr>
        <w:tabs>
          <w:tab w:val="num" w:pos="3600"/>
        </w:tabs>
        <w:ind w:left="3600" w:hanging="360"/>
      </w:pPr>
      <w:rPr>
        <w:rFonts w:ascii="Arial" w:hAnsi="Arial" w:hint="default"/>
      </w:rPr>
    </w:lvl>
    <w:lvl w:ilvl="5" w:tplc="6E4844F0" w:tentative="1">
      <w:start w:val="1"/>
      <w:numFmt w:val="bullet"/>
      <w:lvlText w:val="•"/>
      <w:lvlJc w:val="left"/>
      <w:pPr>
        <w:tabs>
          <w:tab w:val="num" w:pos="4320"/>
        </w:tabs>
        <w:ind w:left="4320" w:hanging="360"/>
      </w:pPr>
      <w:rPr>
        <w:rFonts w:ascii="Arial" w:hAnsi="Arial" w:hint="default"/>
      </w:rPr>
    </w:lvl>
    <w:lvl w:ilvl="6" w:tplc="1286FBA0" w:tentative="1">
      <w:start w:val="1"/>
      <w:numFmt w:val="bullet"/>
      <w:lvlText w:val="•"/>
      <w:lvlJc w:val="left"/>
      <w:pPr>
        <w:tabs>
          <w:tab w:val="num" w:pos="5040"/>
        </w:tabs>
        <w:ind w:left="5040" w:hanging="360"/>
      </w:pPr>
      <w:rPr>
        <w:rFonts w:ascii="Arial" w:hAnsi="Arial" w:hint="default"/>
      </w:rPr>
    </w:lvl>
    <w:lvl w:ilvl="7" w:tplc="DD269AE0" w:tentative="1">
      <w:start w:val="1"/>
      <w:numFmt w:val="bullet"/>
      <w:lvlText w:val="•"/>
      <w:lvlJc w:val="left"/>
      <w:pPr>
        <w:tabs>
          <w:tab w:val="num" w:pos="5760"/>
        </w:tabs>
        <w:ind w:left="5760" w:hanging="360"/>
      </w:pPr>
      <w:rPr>
        <w:rFonts w:ascii="Arial" w:hAnsi="Arial" w:hint="default"/>
      </w:rPr>
    </w:lvl>
    <w:lvl w:ilvl="8" w:tplc="2D6E39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AD7635"/>
    <w:multiLevelType w:val="hybridMultilevel"/>
    <w:tmpl w:val="2438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16ABD"/>
    <w:multiLevelType w:val="hybridMultilevel"/>
    <w:tmpl w:val="6FCEA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05093"/>
    <w:multiLevelType w:val="hybridMultilevel"/>
    <w:tmpl w:val="DED0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02BD1"/>
    <w:multiLevelType w:val="hybridMultilevel"/>
    <w:tmpl w:val="46800D8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15:restartNumberingAfterBreak="0">
    <w:nsid w:val="3A341947"/>
    <w:multiLevelType w:val="hybridMultilevel"/>
    <w:tmpl w:val="DBBE84EA"/>
    <w:lvl w:ilvl="0" w:tplc="8508E69A">
      <w:start w:val="1"/>
      <w:numFmt w:val="bullet"/>
      <w:lvlText w:val="•"/>
      <w:lvlJc w:val="left"/>
      <w:pPr>
        <w:tabs>
          <w:tab w:val="num" w:pos="720"/>
        </w:tabs>
        <w:ind w:left="720" w:hanging="360"/>
      </w:pPr>
      <w:rPr>
        <w:rFonts w:ascii="Arial" w:hAnsi="Arial" w:hint="default"/>
      </w:rPr>
    </w:lvl>
    <w:lvl w:ilvl="1" w:tplc="3752D04C" w:tentative="1">
      <w:start w:val="1"/>
      <w:numFmt w:val="bullet"/>
      <w:lvlText w:val="•"/>
      <w:lvlJc w:val="left"/>
      <w:pPr>
        <w:tabs>
          <w:tab w:val="num" w:pos="1440"/>
        </w:tabs>
        <w:ind w:left="1440" w:hanging="360"/>
      </w:pPr>
      <w:rPr>
        <w:rFonts w:ascii="Arial" w:hAnsi="Arial" w:hint="default"/>
      </w:rPr>
    </w:lvl>
    <w:lvl w:ilvl="2" w:tplc="70FA9100" w:tentative="1">
      <w:start w:val="1"/>
      <w:numFmt w:val="bullet"/>
      <w:lvlText w:val="•"/>
      <w:lvlJc w:val="left"/>
      <w:pPr>
        <w:tabs>
          <w:tab w:val="num" w:pos="2160"/>
        </w:tabs>
        <w:ind w:left="2160" w:hanging="360"/>
      </w:pPr>
      <w:rPr>
        <w:rFonts w:ascii="Arial" w:hAnsi="Arial" w:hint="default"/>
      </w:rPr>
    </w:lvl>
    <w:lvl w:ilvl="3" w:tplc="1F7AFC7A" w:tentative="1">
      <w:start w:val="1"/>
      <w:numFmt w:val="bullet"/>
      <w:lvlText w:val="•"/>
      <w:lvlJc w:val="left"/>
      <w:pPr>
        <w:tabs>
          <w:tab w:val="num" w:pos="2880"/>
        </w:tabs>
        <w:ind w:left="2880" w:hanging="360"/>
      </w:pPr>
      <w:rPr>
        <w:rFonts w:ascii="Arial" w:hAnsi="Arial" w:hint="default"/>
      </w:rPr>
    </w:lvl>
    <w:lvl w:ilvl="4" w:tplc="772A1220" w:tentative="1">
      <w:start w:val="1"/>
      <w:numFmt w:val="bullet"/>
      <w:lvlText w:val="•"/>
      <w:lvlJc w:val="left"/>
      <w:pPr>
        <w:tabs>
          <w:tab w:val="num" w:pos="3600"/>
        </w:tabs>
        <w:ind w:left="3600" w:hanging="360"/>
      </w:pPr>
      <w:rPr>
        <w:rFonts w:ascii="Arial" w:hAnsi="Arial" w:hint="default"/>
      </w:rPr>
    </w:lvl>
    <w:lvl w:ilvl="5" w:tplc="D30AD242" w:tentative="1">
      <w:start w:val="1"/>
      <w:numFmt w:val="bullet"/>
      <w:lvlText w:val="•"/>
      <w:lvlJc w:val="left"/>
      <w:pPr>
        <w:tabs>
          <w:tab w:val="num" w:pos="4320"/>
        </w:tabs>
        <w:ind w:left="4320" w:hanging="360"/>
      </w:pPr>
      <w:rPr>
        <w:rFonts w:ascii="Arial" w:hAnsi="Arial" w:hint="default"/>
      </w:rPr>
    </w:lvl>
    <w:lvl w:ilvl="6" w:tplc="C0CE51EE" w:tentative="1">
      <w:start w:val="1"/>
      <w:numFmt w:val="bullet"/>
      <w:lvlText w:val="•"/>
      <w:lvlJc w:val="left"/>
      <w:pPr>
        <w:tabs>
          <w:tab w:val="num" w:pos="5040"/>
        </w:tabs>
        <w:ind w:left="5040" w:hanging="360"/>
      </w:pPr>
      <w:rPr>
        <w:rFonts w:ascii="Arial" w:hAnsi="Arial" w:hint="default"/>
      </w:rPr>
    </w:lvl>
    <w:lvl w:ilvl="7" w:tplc="8DD231AC" w:tentative="1">
      <w:start w:val="1"/>
      <w:numFmt w:val="bullet"/>
      <w:lvlText w:val="•"/>
      <w:lvlJc w:val="left"/>
      <w:pPr>
        <w:tabs>
          <w:tab w:val="num" w:pos="5760"/>
        </w:tabs>
        <w:ind w:left="5760" w:hanging="360"/>
      </w:pPr>
      <w:rPr>
        <w:rFonts w:ascii="Arial" w:hAnsi="Arial" w:hint="default"/>
      </w:rPr>
    </w:lvl>
    <w:lvl w:ilvl="8" w:tplc="DD2C6F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6A08E6"/>
    <w:multiLevelType w:val="hybridMultilevel"/>
    <w:tmpl w:val="2E0C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A54F0"/>
    <w:multiLevelType w:val="hybridMultilevel"/>
    <w:tmpl w:val="823CE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7761E"/>
    <w:multiLevelType w:val="hybridMultilevel"/>
    <w:tmpl w:val="6A04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A186C"/>
    <w:multiLevelType w:val="hybridMultilevel"/>
    <w:tmpl w:val="5D1C5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9D5350"/>
    <w:multiLevelType w:val="hybridMultilevel"/>
    <w:tmpl w:val="B16633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8E78EC"/>
    <w:multiLevelType w:val="hybridMultilevel"/>
    <w:tmpl w:val="ACBA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A2A57"/>
    <w:multiLevelType w:val="hybridMultilevel"/>
    <w:tmpl w:val="07080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50309F"/>
    <w:multiLevelType w:val="hybridMultilevel"/>
    <w:tmpl w:val="075E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773D2"/>
    <w:multiLevelType w:val="hybridMultilevel"/>
    <w:tmpl w:val="45C0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0C646D"/>
    <w:multiLevelType w:val="hybridMultilevel"/>
    <w:tmpl w:val="CAAE2376"/>
    <w:lvl w:ilvl="0" w:tplc="C68EEDEE">
      <w:start w:val="1"/>
      <w:numFmt w:val="bullet"/>
      <w:lvlText w:val="•"/>
      <w:lvlJc w:val="left"/>
      <w:pPr>
        <w:tabs>
          <w:tab w:val="num" w:pos="720"/>
        </w:tabs>
        <w:ind w:left="720" w:hanging="360"/>
      </w:pPr>
      <w:rPr>
        <w:rFonts w:ascii="Arial" w:hAnsi="Arial" w:hint="default"/>
      </w:rPr>
    </w:lvl>
    <w:lvl w:ilvl="1" w:tplc="6F209032" w:tentative="1">
      <w:start w:val="1"/>
      <w:numFmt w:val="bullet"/>
      <w:lvlText w:val="•"/>
      <w:lvlJc w:val="left"/>
      <w:pPr>
        <w:tabs>
          <w:tab w:val="num" w:pos="1440"/>
        </w:tabs>
        <w:ind w:left="1440" w:hanging="360"/>
      </w:pPr>
      <w:rPr>
        <w:rFonts w:ascii="Arial" w:hAnsi="Arial" w:hint="default"/>
      </w:rPr>
    </w:lvl>
    <w:lvl w:ilvl="2" w:tplc="772A1C64" w:tentative="1">
      <w:start w:val="1"/>
      <w:numFmt w:val="bullet"/>
      <w:lvlText w:val="•"/>
      <w:lvlJc w:val="left"/>
      <w:pPr>
        <w:tabs>
          <w:tab w:val="num" w:pos="2160"/>
        </w:tabs>
        <w:ind w:left="2160" w:hanging="360"/>
      </w:pPr>
      <w:rPr>
        <w:rFonts w:ascii="Arial" w:hAnsi="Arial" w:hint="default"/>
      </w:rPr>
    </w:lvl>
    <w:lvl w:ilvl="3" w:tplc="7A629B66" w:tentative="1">
      <w:start w:val="1"/>
      <w:numFmt w:val="bullet"/>
      <w:lvlText w:val="•"/>
      <w:lvlJc w:val="left"/>
      <w:pPr>
        <w:tabs>
          <w:tab w:val="num" w:pos="2880"/>
        </w:tabs>
        <w:ind w:left="2880" w:hanging="360"/>
      </w:pPr>
      <w:rPr>
        <w:rFonts w:ascii="Arial" w:hAnsi="Arial" w:hint="default"/>
      </w:rPr>
    </w:lvl>
    <w:lvl w:ilvl="4" w:tplc="FEC8C894" w:tentative="1">
      <w:start w:val="1"/>
      <w:numFmt w:val="bullet"/>
      <w:lvlText w:val="•"/>
      <w:lvlJc w:val="left"/>
      <w:pPr>
        <w:tabs>
          <w:tab w:val="num" w:pos="3600"/>
        </w:tabs>
        <w:ind w:left="3600" w:hanging="360"/>
      </w:pPr>
      <w:rPr>
        <w:rFonts w:ascii="Arial" w:hAnsi="Arial" w:hint="default"/>
      </w:rPr>
    </w:lvl>
    <w:lvl w:ilvl="5" w:tplc="92AEA9BE" w:tentative="1">
      <w:start w:val="1"/>
      <w:numFmt w:val="bullet"/>
      <w:lvlText w:val="•"/>
      <w:lvlJc w:val="left"/>
      <w:pPr>
        <w:tabs>
          <w:tab w:val="num" w:pos="4320"/>
        </w:tabs>
        <w:ind w:left="4320" w:hanging="360"/>
      </w:pPr>
      <w:rPr>
        <w:rFonts w:ascii="Arial" w:hAnsi="Arial" w:hint="default"/>
      </w:rPr>
    </w:lvl>
    <w:lvl w:ilvl="6" w:tplc="6BD66668" w:tentative="1">
      <w:start w:val="1"/>
      <w:numFmt w:val="bullet"/>
      <w:lvlText w:val="•"/>
      <w:lvlJc w:val="left"/>
      <w:pPr>
        <w:tabs>
          <w:tab w:val="num" w:pos="5040"/>
        </w:tabs>
        <w:ind w:left="5040" w:hanging="360"/>
      </w:pPr>
      <w:rPr>
        <w:rFonts w:ascii="Arial" w:hAnsi="Arial" w:hint="default"/>
      </w:rPr>
    </w:lvl>
    <w:lvl w:ilvl="7" w:tplc="FB2206EC" w:tentative="1">
      <w:start w:val="1"/>
      <w:numFmt w:val="bullet"/>
      <w:lvlText w:val="•"/>
      <w:lvlJc w:val="left"/>
      <w:pPr>
        <w:tabs>
          <w:tab w:val="num" w:pos="5760"/>
        </w:tabs>
        <w:ind w:left="5760" w:hanging="360"/>
      </w:pPr>
      <w:rPr>
        <w:rFonts w:ascii="Arial" w:hAnsi="Arial" w:hint="default"/>
      </w:rPr>
    </w:lvl>
    <w:lvl w:ilvl="8" w:tplc="E326DB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CF0181"/>
    <w:multiLevelType w:val="hybridMultilevel"/>
    <w:tmpl w:val="00528A5C"/>
    <w:lvl w:ilvl="0" w:tplc="54D4B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5B0244"/>
    <w:multiLevelType w:val="hybridMultilevel"/>
    <w:tmpl w:val="40B029D8"/>
    <w:lvl w:ilvl="0" w:tplc="BCE2B1A6">
      <w:start w:val="1"/>
      <w:numFmt w:val="bullet"/>
      <w:lvlText w:val="•"/>
      <w:lvlJc w:val="left"/>
      <w:pPr>
        <w:tabs>
          <w:tab w:val="num" w:pos="720"/>
        </w:tabs>
        <w:ind w:left="720" w:hanging="360"/>
      </w:pPr>
      <w:rPr>
        <w:rFonts w:ascii="Arial" w:hAnsi="Arial" w:hint="default"/>
      </w:rPr>
    </w:lvl>
    <w:lvl w:ilvl="1" w:tplc="AE962D34" w:tentative="1">
      <w:start w:val="1"/>
      <w:numFmt w:val="bullet"/>
      <w:lvlText w:val="•"/>
      <w:lvlJc w:val="left"/>
      <w:pPr>
        <w:tabs>
          <w:tab w:val="num" w:pos="1440"/>
        </w:tabs>
        <w:ind w:left="1440" w:hanging="360"/>
      </w:pPr>
      <w:rPr>
        <w:rFonts w:ascii="Arial" w:hAnsi="Arial" w:hint="default"/>
      </w:rPr>
    </w:lvl>
    <w:lvl w:ilvl="2" w:tplc="9EC43662" w:tentative="1">
      <w:start w:val="1"/>
      <w:numFmt w:val="bullet"/>
      <w:lvlText w:val="•"/>
      <w:lvlJc w:val="left"/>
      <w:pPr>
        <w:tabs>
          <w:tab w:val="num" w:pos="2160"/>
        </w:tabs>
        <w:ind w:left="2160" w:hanging="360"/>
      </w:pPr>
      <w:rPr>
        <w:rFonts w:ascii="Arial" w:hAnsi="Arial" w:hint="default"/>
      </w:rPr>
    </w:lvl>
    <w:lvl w:ilvl="3" w:tplc="94BC8686" w:tentative="1">
      <w:start w:val="1"/>
      <w:numFmt w:val="bullet"/>
      <w:lvlText w:val="•"/>
      <w:lvlJc w:val="left"/>
      <w:pPr>
        <w:tabs>
          <w:tab w:val="num" w:pos="2880"/>
        </w:tabs>
        <w:ind w:left="2880" w:hanging="360"/>
      </w:pPr>
      <w:rPr>
        <w:rFonts w:ascii="Arial" w:hAnsi="Arial" w:hint="default"/>
      </w:rPr>
    </w:lvl>
    <w:lvl w:ilvl="4" w:tplc="649C4DCC" w:tentative="1">
      <w:start w:val="1"/>
      <w:numFmt w:val="bullet"/>
      <w:lvlText w:val="•"/>
      <w:lvlJc w:val="left"/>
      <w:pPr>
        <w:tabs>
          <w:tab w:val="num" w:pos="3600"/>
        </w:tabs>
        <w:ind w:left="3600" w:hanging="360"/>
      </w:pPr>
      <w:rPr>
        <w:rFonts w:ascii="Arial" w:hAnsi="Arial" w:hint="default"/>
      </w:rPr>
    </w:lvl>
    <w:lvl w:ilvl="5" w:tplc="ED28A498" w:tentative="1">
      <w:start w:val="1"/>
      <w:numFmt w:val="bullet"/>
      <w:lvlText w:val="•"/>
      <w:lvlJc w:val="left"/>
      <w:pPr>
        <w:tabs>
          <w:tab w:val="num" w:pos="4320"/>
        </w:tabs>
        <w:ind w:left="4320" w:hanging="360"/>
      </w:pPr>
      <w:rPr>
        <w:rFonts w:ascii="Arial" w:hAnsi="Arial" w:hint="default"/>
      </w:rPr>
    </w:lvl>
    <w:lvl w:ilvl="6" w:tplc="E27AE3E0" w:tentative="1">
      <w:start w:val="1"/>
      <w:numFmt w:val="bullet"/>
      <w:lvlText w:val="•"/>
      <w:lvlJc w:val="left"/>
      <w:pPr>
        <w:tabs>
          <w:tab w:val="num" w:pos="5040"/>
        </w:tabs>
        <w:ind w:left="5040" w:hanging="360"/>
      </w:pPr>
      <w:rPr>
        <w:rFonts w:ascii="Arial" w:hAnsi="Arial" w:hint="default"/>
      </w:rPr>
    </w:lvl>
    <w:lvl w:ilvl="7" w:tplc="8D3217C8" w:tentative="1">
      <w:start w:val="1"/>
      <w:numFmt w:val="bullet"/>
      <w:lvlText w:val="•"/>
      <w:lvlJc w:val="left"/>
      <w:pPr>
        <w:tabs>
          <w:tab w:val="num" w:pos="5760"/>
        </w:tabs>
        <w:ind w:left="5760" w:hanging="360"/>
      </w:pPr>
      <w:rPr>
        <w:rFonts w:ascii="Arial" w:hAnsi="Arial" w:hint="default"/>
      </w:rPr>
    </w:lvl>
    <w:lvl w:ilvl="8" w:tplc="D89C596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9E7506"/>
    <w:multiLevelType w:val="multilevel"/>
    <w:tmpl w:val="B16633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3A011CA"/>
    <w:multiLevelType w:val="hybridMultilevel"/>
    <w:tmpl w:val="CE74C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7C51756"/>
    <w:multiLevelType w:val="hybridMultilevel"/>
    <w:tmpl w:val="B858B6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7F04AB"/>
    <w:multiLevelType w:val="hybridMultilevel"/>
    <w:tmpl w:val="683A1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E46F6A"/>
    <w:multiLevelType w:val="hybridMultilevel"/>
    <w:tmpl w:val="F190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993CA1"/>
    <w:multiLevelType w:val="hybridMultilevel"/>
    <w:tmpl w:val="61149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392BA7"/>
    <w:multiLevelType w:val="hybridMultilevel"/>
    <w:tmpl w:val="ED20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1"/>
  </w:num>
  <w:num w:numId="4">
    <w:abstractNumId w:val="18"/>
  </w:num>
  <w:num w:numId="5">
    <w:abstractNumId w:val="19"/>
  </w:num>
  <w:num w:numId="6">
    <w:abstractNumId w:val="23"/>
  </w:num>
  <w:num w:numId="7">
    <w:abstractNumId w:val="5"/>
  </w:num>
  <w:num w:numId="8">
    <w:abstractNumId w:val="21"/>
  </w:num>
  <w:num w:numId="9">
    <w:abstractNumId w:val="1"/>
  </w:num>
  <w:num w:numId="10">
    <w:abstractNumId w:val="6"/>
  </w:num>
  <w:num w:numId="11">
    <w:abstractNumId w:val="16"/>
  </w:num>
  <w:num w:numId="12">
    <w:abstractNumId w:val="22"/>
  </w:num>
  <w:num w:numId="13">
    <w:abstractNumId w:val="2"/>
  </w:num>
  <w:num w:numId="14">
    <w:abstractNumId w:val="4"/>
  </w:num>
  <w:num w:numId="15">
    <w:abstractNumId w:val="0"/>
  </w:num>
  <w:num w:numId="16">
    <w:abstractNumId w:val="8"/>
  </w:num>
  <w:num w:numId="17">
    <w:abstractNumId w:val="9"/>
  </w:num>
  <w:num w:numId="18">
    <w:abstractNumId w:val="15"/>
  </w:num>
  <w:num w:numId="19">
    <w:abstractNumId w:val="25"/>
  </w:num>
  <w:num w:numId="20">
    <w:abstractNumId w:val="12"/>
  </w:num>
  <w:num w:numId="21">
    <w:abstractNumId w:val="14"/>
  </w:num>
  <w:num w:numId="22">
    <w:abstractNumId w:val="10"/>
  </w:num>
  <w:num w:numId="23">
    <w:abstractNumId w:val="24"/>
  </w:num>
  <w:num w:numId="24">
    <w:abstractNumId w:val="13"/>
  </w:num>
  <w:num w:numId="25">
    <w:abstractNumId w:val="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9A"/>
    <w:rsid w:val="00003E2C"/>
    <w:rsid w:val="0000426B"/>
    <w:rsid w:val="00013CD5"/>
    <w:rsid w:val="000240BB"/>
    <w:rsid w:val="00032C5B"/>
    <w:rsid w:val="000401DD"/>
    <w:rsid w:val="000423CF"/>
    <w:rsid w:val="000509F3"/>
    <w:rsid w:val="000540FC"/>
    <w:rsid w:val="00055D83"/>
    <w:rsid w:val="00060226"/>
    <w:rsid w:val="00060AEF"/>
    <w:rsid w:val="000646B0"/>
    <w:rsid w:val="00065DE0"/>
    <w:rsid w:val="00071D65"/>
    <w:rsid w:val="0007203C"/>
    <w:rsid w:val="00076B19"/>
    <w:rsid w:val="00083ED5"/>
    <w:rsid w:val="00090B16"/>
    <w:rsid w:val="0009316D"/>
    <w:rsid w:val="000A3F0B"/>
    <w:rsid w:val="000C4557"/>
    <w:rsid w:val="000C5293"/>
    <w:rsid w:val="000D5C1C"/>
    <w:rsid w:val="000E293B"/>
    <w:rsid w:val="000E39AB"/>
    <w:rsid w:val="000E6899"/>
    <w:rsid w:val="000F18D5"/>
    <w:rsid w:val="000F5CBC"/>
    <w:rsid w:val="000F5D11"/>
    <w:rsid w:val="0010141E"/>
    <w:rsid w:val="00102EC2"/>
    <w:rsid w:val="001069EB"/>
    <w:rsid w:val="00106C14"/>
    <w:rsid w:val="0011261A"/>
    <w:rsid w:val="001235D3"/>
    <w:rsid w:val="00127E6D"/>
    <w:rsid w:val="0013789F"/>
    <w:rsid w:val="001401A6"/>
    <w:rsid w:val="001452E7"/>
    <w:rsid w:val="00157935"/>
    <w:rsid w:val="00161BD0"/>
    <w:rsid w:val="00166345"/>
    <w:rsid w:val="00173C52"/>
    <w:rsid w:val="00180B0B"/>
    <w:rsid w:val="001879CB"/>
    <w:rsid w:val="00187DAA"/>
    <w:rsid w:val="00193C5E"/>
    <w:rsid w:val="00196A4A"/>
    <w:rsid w:val="001A5D72"/>
    <w:rsid w:val="001A7341"/>
    <w:rsid w:val="001A7C0B"/>
    <w:rsid w:val="001B1F3B"/>
    <w:rsid w:val="001B74F3"/>
    <w:rsid w:val="001D7B07"/>
    <w:rsid w:val="001F5D0E"/>
    <w:rsid w:val="00213EF7"/>
    <w:rsid w:val="002201D6"/>
    <w:rsid w:val="00222A28"/>
    <w:rsid w:val="00223E1F"/>
    <w:rsid w:val="00224A46"/>
    <w:rsid w:val="0023077D"/>
    <w:rsid w:val="00241B58"/>
    <w:rsid w:val="00245362"/>
    <w:rsid w:val="002551C1"/>
    <w:rsid w:val="00257FBE"/>
    <w:rsid w:val="00260F32"/>
    <w:rsid w:val="00283E44"/>
    <w:rsid w:val="002B0BA2"/>
    <w:rsid w:val="002B0F3C"/>
    <w:rsid w:val="002B1D39"/>
    <w:rsid w:val="002B53A1"/>
    <w:rsid w:val="002B6AA3"/>
    <w:rsid w:val="002C05CD"/>
    <w:rsid w:val="002C05F2"/>
    <w:rsid w:val="002C44EB"/>
    <w:rsid w:val="002D73D6"/>
    <w:rsid w:val="002E672D"/>
    <w:rsid w:val="002E78AE"/>
    <w:rsid w:val="002F028C"/>
    <w:rsid w:val="002F17D8"/>
    <w:rsid w:val="002F6FF8"/>
    <w:rsid w:val="00301E5A"/>
    <w:rsid w:val="00316D10"/>
    <w:rsid w:val="00337971"/>
    <w:rsid w:val="003509CC"/>
    <w:rsid w:val="00351884"/>
    <w:rsid w:val="00362634"/>
    <w:rsid w:val="00365CDE"/>
    <w:rsid w:val="00367EF2"/>
    <w:rsid w:val="0038260F"/>
    <w:rsid w:val="00384AFB"/>
    <w:rsid w:val="003919A6"/>
    <w:rsid w:val="0039315C"/>
    <w:rsid w:val="003A0C49"/>
    <w:rsid w:val="003A0CC4"/>
    <w:rsid w:val="003A196C"/>
    <w:rsid w:val="003A5C94"/>
    <w:rsid w:val="003A6437"/>
    <w:rsid w:val="003B03DE"/>
    <w:rsid w:val="003B1A40"/>
    <w:rsid w:val="003B2A8A"/>
    <w:rsid w:val="003C3183"/>
    <w:rsid w:val="003D15CA"/>
    <w:rsid w:val="003D1F4F"/>
    <w:rsid w:val="003D464A"/>
    <w:rsid w:val="003E0A87"/>
    <w:rsid w:val="003F61A3"/>
    <w:rsid w:val="00400854"/>
    <w:rsid w:val="00400C48"/>
    <w:rsid w:val="00411578"/>
    <w:rsid w:val="00415CBD"/>
    <w:rsid w:val="00415F42"/>
    <w:rsid w:val="004205D0"/>
    <w:rsid w:val="00430BED"/>
    <w:rsid w:val="0043320F"/>
    <w:rsid w:val="0044587E"/>
    <w:rsid w:val="004468BD"/>
    <w:rsid w:val="004512D0"/>
    <w:rsid w:val="0045456C"/>
    <w:rsid w:val="004613F9"/>
    <w:rsid w:val="00463F19"/>
    <w:rsid w:val="00464431"/>
    <w:rsid w:val="004712CA"/>
    <w:rsid w:val="00481AE0"/>
    <w:rsid w:val="00483BBF"/>
    <w:rsid w:val="00487706"/>
    <w:rsid w:val="0049080A"/>
    <w:rsid w:val="0049280D"/>
    <w:rsid w:val="00492CB0"/>
    <w:rsid w:val="00494AB2"/>
    <w:rsid w:val="004A0CA7"/>
    <w:rsid w:val="004A1B9D"/>
    <w:rsid w:val="004A70AB"/>
    <w:rsid w:val="004B66E1"/>
    <w:rsid w:val="004B6892"/>
    <w:rsid w:val="004B6F6E"/>
    <w:rsid w:val="004B77FC"/>
    <w:rsid w:val="004C1472"/>
    <w:rsid w:val="004C61CF"/>
    <w:rsid w:val="004C6E2D"/>
    <w:rsid w:val="004D3D28"/>
    <w:rsid w:val="004F020F"/>
    <w:rsid w:val="004F1754"/>
    <w:rsid w:val="004F28CE"/>
    <w:rsid w:val="004F6C14"/>
    <w:rsid w:val="004F6DAB"/>
    <w:rsid w:val="004F787D"/>
    <w:rsid w:val="00501B9A"/>
    <w:rsid w:val="005041E8"/>
    <w:rsid w:val="00507BBE"/>
    <w:rsid w:val="005203D3"/>
    <w:rsid w:val="00523BFF"/>
    <w:rsid w:val="00526E69"/>
    <w:rsid w:val="00527EB6"/>
    <w:rsid w:val="00531B98"/>
    <w:rsid w:val="00535044"/>
    <w:rsid w:val="00546EBF"/>
    <w:rsid w:val="005518D3"/>
    <w:rsid w:val="00552D4C"/>
    <w:rsid w:val="005611C9"/>
    <w:rsid w:val="00562DAE"/>
    <w:rsid w:val="0056312F"/>
    <w:rsid w:val="005632C4"/>
    <w:rsid w:val="00565B9A"/>
    <w:rsid w:val="005670ED"/>
    <w:rsid w:val="00576CB3"/>
    <w:rsid w:val="00580564"/>
    <w:rsid w:val="00581A6B"/>
    <w:rsid w:val="00587C73"/>
    <w:rsid w:val="005928F4"/>
    <w:rsid w:val="005A1F89"/>
    <w:rsid w:val="005A331A"/>
    <w:rsid w:val="005A3400"/>
    <w:rsid w:val="005B1EF9"/>
    <w:rsid w:val="005C7B1F"/>
    <w:rsid w:val="005D26CB"/>
    <w:rsid w:val="005D5EB2"/>
    <w:rsid w:val="005D718C"/>
    <w:rsid w:val="005E20E4"/>
    <w:rsid w:val="005E7B59"/>
    <w:rsid w:val="005F3CC6"/>
    <w:rsid w:val="005F6435"/>
    <w:rsid w:val="0060776A"/>
    <w:rsid w:val="006123C2"/>
    <w:rsid w:val="00613E34"/>
    <w:rsid w:val="00616224"/>
    <w:rsid w:val="006219D8"/>
    <w:rsid w:val="00623A4E"/>
    <w:rsid w:val="00627DF8"/>
    <w:rsid w:val="006320AE"/>
    <w:rsid w:val="006336F7"/>
    <w:rsid w:val="00644531"/>
    <w:rsid w:val="00647AEC"/>
    <w:rsid w:val="00650A8C"/>
    <w:rsid w:val="00671C08"/>
    <w:rsid w:val="00676006"/>
    <w:rsid w:val="00676136"/>
    <w:rsid w:val="00690113"/>
    <w:rsid w:val="00690237"/>
    <w:rsid w:val="006A0FA3"/>
    <w:rsid w:val="006A5E87"/>
    <w:rsid w:val="006A6404"/>
    <w:rsid w:val="006B027E"/>
    <w:rsid w:val="006B327E"/>
    <w:rsid w:val="006C0CD2"/>
    <w:rsid w:val="006C6AF9"/>
    <w:rsid w:val="006D4265"/>
    <w:rsid w:val="006E080C"/>
    <w:rsid w:val="006E585B"/>
    <w:rsid w:val="006E59F0"/>
    <w:rsid w:val="006E685F"/>
    <w:rsid w:val="00711CA5"/>
    <w:rsid w:val="007157DD"/>
    <w:rsid w:val="00716814"/>
    <w:rsid w:val="007256F5"/>
    <w:rsid w:val="0073118E"/>
    <w:rsid w:val="00734351"/>
    <w:rsid w:val="00760BF8"/>
    <w:rsid w:val="007612AB"/>
    <w:rsid w:val="0076458D"/>
    <w:rsid w:val="00771CD3"/>
    <w:rsid w:val="00772303"/>
    <w:rsid w:val="0077672E"/>
    <w:rsid w:val="007839B7"/>
    <w:rsid w:val="007852AC"/>
    <w:rsid w:val="00792170"/>
    <w:rsid w:val="007A3568"/>
    <w:rsid w:val="007A37A3"/>
    <w:rsid w:val="007A50B0"/>
    <w:rsid w:val="007B496D"/>
    <w:rsid w:val="007B7B9E"/>
    <w:rsid w:val="007E4F7B"/>
    <w:rsid w:val="007E6F06"/>
    <w:rsid w:val="007F29C0"/>
    <w:rsid w:val="007F57D8"/>
    <w:rsid w:val="00802CB4"/>
    <w:rsid w:val="0080303A"/>
    <w:rsid w:val="00806169"/>
    <w:rsid w:val="008069EB"/>
    <w:rsid w:val="00830FD2"/>
    <w:rsid w:val="008311BA"/>
    <w:rsid w:val="00833E23"/>
    <w:rsid w:val="0083662E"/>
    <w:rsid w:val="0084079B"/>
    <w:rsid w:val="00841364"/>
    <w:rsid w:val="00843028"/>
    <w:rsid w:val="008461C8"/>
    <w:rsid w:val="008538BB"/>
    <w:rsid w:val="00853A26"/>
    <w:rsid w:val="00866217"/>
    <w:rsid w:val="00871922"/>
    <w:rsid w:val="0087432E"/>
    <w:rsid w:val="00887452"/>
    <w:rsid w:val="008913CB"/>
    <w:rsid w:val="0089766C"/>
    <w:rsid w:val="008A55F8"/>
    <w:rsid w:val="008A5770"/>
    <w:rsid w:val="008A7F23"/>
    <w:rsid w:val="008B03B5"/>
    <w:rsid w:val="008B364B"/>
    <w:rsid w:val="008B6FE0"/>
    <w:rsid w:val="008B73C0"/>
    <w:rsid w:val="008C5962"/>
    <w:rsid w:val="008D1A73"/>
    <w:rsid w:val="008D714F"/>
    <w:rsid w:val="008D76CF"/>
    <w:rsid w:val="008E3275"/>
    <w:rsid w:val="008E762E"/>
    <w:rsid w:val="008F371A"/>
    <w:rsid w:val="008F5388"/>
    <w:rsid w:val="008F74A1"/>
    <w:rsid w:val="008F7F12"/>
    <w:rsid w:val="00904BB1"/>
    <w:rsid w:val="009054B5"/>
    <w:rsid w:val="00911E78"/>
    <w:rsid w:val="00915C4B"/>
    <w:rsid w:val="00917263"/>
    <w:rsid w:val="0092470C"/>
    <w:rsid w:val="0093134A"/>
    <w:rsid w:val="00932AB1"/>
    <w:rsid w:val="00942FB5"/>
    <w:rsid w:val="009645E2"/>
    <w:rsid w:val="00971158"/>
    <w:rsid w:val="0098626D"/>
    <w:rsid w:val="00987597"/>
    <w:rsid w:val="0099590D"/>
    <w:rsid w:val="00996B85"/>
    <w:rsid w:val="009A0DA3"/>
    <w:rsid w:val="009A1CA5"/>
    <w:rsid w:val="009B0748"/>
    <w:rsid w:val="009B35D7"/>
    <w:rsid w:val="009B3B6D"/>
    <w:rsid w:val="009B625B"/>
    <w:rsid w:val="009B771D"/>
    <w:rsid w:val="009B7A20"/>
    <w:rsid w:val="009C3CFE"/>
    <w:rsid w:val="009C6AAA"/>
    <w:rsid w:val="009C7CEB"/>
    <w:rsid w:val="009D60F9"/>
    <w:rsid w:val="009E3578"/>
    <w:rsid w:val="009F5412"/>
    <w:rsid w:val="00A03610"/>
    <w:rsid w:val="00A06BA1"/>
    <w:rsid w:val="00A131E2"/>
    <w:rsid w:val="00A14C17"/>
    <w:rsid w:val="00A20A63"/>
    <w:rsid w:val="00A32665"/>
    <w:rsid w:val="00A36F54"/>
    <w:rsid w:val="00A44253"/>
    <w:rsid w:val="00A5123A"/>
    <w:rsid w:val="00A544F8"/>
    <w:rsid w:val="00A55640"/>
    <w:rsid w:val="00A56DDF"/>
    <w:rsid w:val="00A56FA1"/>
    <w:rsid w:val="00A60B76"/>
    <w:rsid w:val="00A6657E"/>
    <w:rsid w:val="00A746D2"/>
    <w:rsid w:val="00A75E04"/>
    <w:rsid w:val="00A836F0"/>
    <w:rsid w:val="00A93E1D"/>
    <w:rsid w:val="00AA4235"/>
    <w:rsid w:val="00AA583A"/>
    <w:rsid w:val="00AA66CD"/>
    <w:rsid w:val="00AB025A"/>
    <w:rsid w:val="00AB12AE"/>
    <w:rsid w:val="00AB362E"/>
    <w:rsid w:val="00AC1E89"/>
    <w:rsid w:val="00AC7B71"/>
    <w:rsid w:val="00AD1B1A"/>
    <w:rsid w:val="00AD2C64"/>
    <w:rsid w:val="00AD308D"/>
    <w:rsid w:val="00AD6BA4"/>
    <w:rsid w:val="00AE25DB"/>
    <w:rsid w:val="00AE5ABF"/>
    <w:rsid w:val="00AF0AB3"/>
    <w:rsid w:val="00AF7CA0"/>
    <w:rsid w:val="00B02ACD"/>
    <w:rsid w:val="00B06623"/>
    <w:rsid w:val="00B06C7C"/>
    <w:rsid w:val="00B12658"/>
    <w:rsid w:val="00B16D4F"/>
    <w:rsid w:val="00B228F0"/>
    <w:rsid w:val="00B24EB1"/>
    <w:rsid w:val="00B25471"/>
    <w:rsid w:val="00B27C25"/>
    <w:rsid w:val="00B321A0"/>
    <w:rsid w:val="00B37DA1"/>
    <w:rsid w:val="00B37F58"/>
    <w:rsid w:val="00B426BD"/>
    <w:rsid w:val="00B473B4"/>
    <w:rsid w:val="00B557D6"/>
    <w:rsid w:val="00B5701A"/>
    <w:rsid w:val="00B606DC"/>
    <w:rsid w:val="00B6332A"/>
    <w:rsid w:val="00B635B8"/>
    <w:rsid w:val="00B65565"/>
    <w:rsid w:val="00B716A9"/>
    <w:rsid w:val="00B764B4"/>
    <w:rsid w:val="00B85656"/>
    <w:rsid w:val="00B93754"/>
    <w:rsid w:val="00BA1B41"/>
    <w:rsid w:val="00BA3252"/>
    <w:rsid w:val="00BB3CC5"/>
    <w:rsid w:val="00BB408D"/>
    <w:rsid w:val="00BB4DC1"/>
    <w:rsid w:val="00BB5FC7"/>
    <w:rsid w:val="00BC2B71"/>
    <w:rsid w:val="00BC4E35"/>
    <w:rsid w:val="00BD241A"/>
    <w:rsid w:val="00BD274E"/>
    <w:rsid w:val="00BD49EB"/>
    <w:rsid w:val="00BF0FE0"/>
    <w:rsid w:val="00BF42DE"/>
    <w:rsid w:val="00BF5D87"/>
    <w:rsid w:val="00C04E23"/>
    <w:rsid w:val="00C2280E"/>
    <w:rsid w:val="00C22DB2"/>
    <w:rsid w:val="00C23F73"/>
    <w:rsid w:val="00C3199D"/>
    <w:rsid w:val="00C36D7D"/>
    <w:rsid w:val="00C448B0"/>
    <w:rsid w:val="00C4594F"/>
    <w:rsid w:val="00C46AF1"/>
    <w:rsid w:val="00C54A73"/>
    <w:rsid w:val="00C56808"/>
    <w:rsid w:val="00C631B5"/>
    <w:rsid w:val="00C74189"/>
    <w:rsid w:val="00C74B46"/>
    <w:rsid w:val="00C86046"/>
    <w:rsid w:val="00CA0665"/>
    <w:rsid w:val="00CA6654"/>
    <w:rsid w:val="00CB0C1A"/>
    <w:rsid w:val="00CB18D0"/>
    <w:rsid w:val="00CB6DBA"/>
    <w:rsid w:val="00CC749B"/>
    <w:rsid w:val="00CD215A"/>
    <w:rsid w:val="00CD483E"/>
    <w:rsid w:val="00CD4DDC"/>
    <w:rsid w:val="00CD657C"/>
    <w:rsid w:val="00CE3D7B"/>
    <w:rsid w:val="00CF00A6"/>
    <w:rsid w:val="00CF415C"/>
    <w:rsid w:val="00D05453"/>
    <w:rsid w:val="00D16B3B"/>
    <w:rsid w:val="00D23BFD"/>
    <w:rsid w:val="00D256CB"/>
    <w:rsid w:val="00D25BC2"/>
    <w:rsid w:val="00D303FC"/>
    <w:rsid w:val="00D31387"/>
    <w:rsid w:val="00D41B39"/>
    <w:rsid w:val="00D44A7F"/>
    <w:rsid w:val="00D474A7"/>
    <w:rsid w:val="00D61763"/>
    <w:rsid w:val="00D63915"/>
    <w:rsid w:val="00D771D8"/>
    <w:rsid w:val="00D77457"/>
    <w:rsid w:val="00D82BA3"/>
    <w:rsid w:val="00D83344"/>
    <w:rsid w:val="00D84524"/>
    <w:rsid w:val="00D845A1"/>
    <w:rsid w:val="00D867BE"/>
    <w:rsid w:val="00D920D3"/>
    <w:rsid w:val="00DA1A05"/>
    <w:rsid w:val="00DA67D8"/>
    <w:rsid w:val="00DA7624"/>
    <w:rsid w:val="00DA7A13"/>
    <w:rsid w:val="00DB0FDE"/>
    <w:rsid w:val="00DB2B78"/>
    <w:rsid w:val="00DB35D4"/>
    <w:rsid w:val="00DB6CB1"/>
    <w:rsid w:val="00DC2A0B"/>
    <w:rsid w:val="00DC49F2"/>
    <w:rsid w:val="00DD3322"/>
    <w:rsid w:val="00DD4B07"/>
    <w:rsid w:val="00DD7962"/>
    <w:rsid w:val="00DE368C"/>
    <w:rsid w:val="00DE72DF"/>
    <w:rsid w:val="00DF0386"/>
    <w:rsid w:val="00DF0883"/>
    <w:rsid w:val="00DF694B"/>
    <w:rsid w:val="00E03B5B"/>
    <w:rsid w:val="00E05FB9"/>
    <w:rsid w:val="00E10D74"/>
    <w:rsid w:val="00E130E0"/>
    <w:rsid w:val="00E131CC"/>
    <w:rsid w:val="00E14C82"/>
    <w:rsid w:val="00E15945"/>
    <w:rsid w:val="00E17EE8"/>
    <w:rsid w:val="00E309E3"/>
    <w:rsid w:val="00E311AE"/>
    <w:rsid w:val="00E313A1"/>
    <w:rsid w:val="00E36023"/>
    <w:rsid w:val="00E3706A"/>
    <w:rsid w:val="00E40146"/>
    <w:rsid w:val="00E43CD2"/>
    <w:rsid w:val="00E53C52"/>
    <w:rsid w:val="00E540BA"/>
    <w:rsid w:val="00E60656"/>
    <w:rsid w:val="00E67CB9"/>
    <w:rsid w:val="00E80B4F"/>
    <w:rsid w:val="00E84DA5"/>
    <w:rsid w:val="00E92D51"/>
    <w:rsid w:val="00E95E5D"/>
    <w:rsid w:val="00EA1F03"/>
    <w:rsid w:val="00EA6985"/>
    <w:rsid w:val="00EB5DB2"/>
    <w:rsid w:val="00EE299C"/>
    <w:rsid w:val="00EF27CD"/>
    <w:rsid w:val="00F119FA"/>
    <w:rsid w:val="00F14D11"/>
    <w:rsid w:val="00F26DAA"/>
    <w:rsid w:val="00F3522D"/>
    <w:rsid w:val="00F41466"/>
    <w:rsid w:val="00F42AAA"/>
    <w:rsid w:val="00F44F9F"/>
    <w:rsid w:val="00F45916"/>
    <w:rsid w:val="00F46026"/>
    <w:rsid w:val="00F54BD1"/>
    <w:rsid w:val="00F56F7D"/>
    <w:rsid w:val="00F57836"/>
    <w:rsid w:val="00F6008E"/>
    <w:rsid w:val="00F80A43"/>
    <w:rsid w:val="00F817E4"/>
    <w:rsid w:val="00F83F73"/>
    <w:rsid w:val="00F865D3"/>
    <w:rsid w:val="00F92E55"/>
    <w:rsid w:val="00FA78FB"/>
    <w:rsid w:val="00FB41A6"/>
    <w:rsid w:val="00FB51E8"/>
    <w:rsid w:val="00FB7262"/>
    <w:rsid w:val="00FD24D6"/>
    <w:rsid w:val="00FD45B4"/>
    <w:rsid w:val="00FD7F01"/>
    <w:rsid w:val="00FE1F22"/>
    <w:rsid w:val="00FE2C78"/>
    <w:rsid w:val="00FE38C4"/>
    <w:rsid w:val="00FE7949"/>
    <w:rsid w:val="00FF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A5823F"/>
  <w14:defaultImageDpi w14:val="330"/>
  <w15:docId w15:val="{AF25E07C-2273-4E96-B7E7-A002013D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DB2"/>
    <w:pPr>
      <w:ind w:left="720"/>
      <w:contextualSpacing/>
    </w:pPr>
  </w:style>
  <w:style w:type="paragraph" w:styleId="BalloonText">
    <w:name w:val="Balloon Text"/>
    <w:basedOn w:val="Normal"/>
    <w:link w:val="BalloonTextChar"/>
    <w:uiPriority w:val="99"/>
    <w:semiHidden/>
    <w:unhideWhenUsed/>
    <w:rsid w:val="004F28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28CE"/>
    <w:rPr>
      <w:rFonts w:ascii="Lucida Grande" w:hAnsi="Lucida Grande" w:cs="Lucida Grande"/>
      <w:sz w:val="18"/>
      <w:szCs w:val="18"/>
    </w:rPr>
  </w:style>
  <w:style w:type="character" w:styleId="Hyperlink">
    <w:name w:val="Hyperlink"/>
    <w:basedOn w:val="DefaultParagraphFont"/>
    <w:uiPriority w:val="99"/>
    <w:unhideWhenUsed/>
    <w:rsid w:val="00CB0C1A"/>
    <w:rPr>
      <w:color w:val="0000FF" w:themeColor="hyperlink"/>
      <w:u w:val="single"/>
    </w:rPr>
  </w:style>
  <w:style w:type="paragraph" w:styleId="Header">
    <w:name w:val="header"/>
    <w:basedOn w:val="Normal"/>
    <w:link w:val="HeaderChar"/>
    <w:uiPriority w:val="99"/>
    <w:unhideWhenUsed/>
    <w:rsid w:val="000E6899"/>
    <w:pPr>
      <w:tabs>
        <w:tab w:val="center" w:pos="4320"/>
        <w:tab w:val="right" w:pos="8640"/>
      </w:tabs>
    </w:pPr>
  </w:style>
  <w:style w:type="character" w:customStyle="1" w:styleId="HeaderChar">
    <w:name w:val="Header Char"/>
    <w:basedOn w:val="DefaultParagraphFont"/>
    <w:link w:val="Header"/>
    <w:uiPriority w:val="99"/>
    <w:rsid w:val="000E6899"/>
  </w:style>
  <w:style w:type="paragraph" w:styleId="Footer">
    <w:name w:val="footer"/>
    <w:basedOn w:val="Normal"/>
    <w:link w:val="FooterChar"/>
    <w:uiPriority w:val="99"/>
    <w:unhideWhenUsed/>
    <w:rsid w:val="000E6899"/>
    <w:pPr>
      <w:tabs>
        <w:tab w:val="center" w:pos="4320"/>
        <w:tab w:val="right" w:pos="8640"/>
      </w:tabs>
    </w:pPr>
  </w:style>
  <w:style w:type="character" w:customStyle="1" w:styleId="FooterChar">
    <w:name w:val="Footer Char"/>
    <w:basedOn w:val="DefaultParagraphFont"/>
    <w:link w:val="Footer"/>
    <w:uiPriority w:val="99"/>
    <w:rsid w:val="000E6899"/>
  </w:style>
  <w:style w:type="character" w:styleId="CommentReference">
    <w:name w:val="annotation reference"/>
    <w:basedOn w:val="DefaultParagraphFont"/>
    <w:uiPriority w:val="99"/>
    <w:semiHidden/>
    <w:unhideWhenUsed/>
    <w:rsid w:val="00C23F73"/>
    <w:rPr>
      <w:sz w:val="16"/>
      <w:szCs w:val="16"/>
    </w:rPr>
  </w:style>
  <w:style w:type="paragraph" w:styleId="CommentText">
    <w:name w:val="annotation text"/>
    <w:basedOn w:val="Normal"/>
    <w:link w:val="CommentTextChar"/>
    <w:uiPriority w:val="99"/>
    <w:semiHidden/>
    <w:unhideWhenUsed/>
    <w:rsid w:val="00C23F73"/>
    <w:rPr>
      <w:sz w:val="20"/>
      <w:szCs w:val="20"/>
    </w:rPr>
  </w:style>
  <w:style w:type="character" w:customStyle="1" w:styleId="CommentTextChar">
    <w:name w:val="Comment Text Char"/>
    <w:basedOn w:val="DefaultParagraphFont"/>
    <w:link w:val="CommentText"/>
    <w:uiPriority w:val="99"/>
    <w:semiHidden/>
    <w:rsid w:val="00C23F73"/>
    <w:rPr>
      <w:sz w:val="20"/>
      <w:szCs w:val="20"/>
    </w:rPr>
  </w:style>
  <w:style w:type="paragraph" w:styleId="CommentSubject">
    <w:name w:val="annotation subject"/>
    <w:basedOn w:val="CommentText"/>
    <w:next w:val="CommentText"/>
    <w:link w:val="CommentSubjectChar"/>
    <w:uiPriority w:val="99"/>
    <w:semiHidden/>
    <w:unhideWhenUsed/>
    <w:rsid w:val="00C23F73"/>
    <w:rPr>
      <w:b/>
      <w:bCs/>
    </w:rPr>
  </w:style>
  <w:style w:type="character" w:customStyle="1" w:styleId="CommentSubjectChar">
    <w:name w:val="Comment Subject Char"/>
    <w:basedOn w:val="CommentTextChar"/>
    <w:link w:val="CommentSubject"/>
    <w:uiPriority w:val="99"/>
    <w:semiHidden/>
    <w:rsid w:val="00C23F73"/>
    <w:rPr>
      <w:b/>
      <w:bCs/>
      <w:sz w:val="20"/>
      <w:szCs w:val="20"/>
    </w:rPr>
  </w:style>
  <w:style w:type="character" w:styleId="FootnoteReference">
    <w:name w:val="footnote reference"/>
    <w:basedOn w:val="DefaultParagraphFont"/>
    <w:uiPriority w:val="99"/>
    <w:semiHidden/>
    <w:unhideWhenUsed/>
    <w:rsid w:val="00CA0665"/>
    <w:rPr>
      <w:vertAlign w:val="superscript"/>
    </w:rPr>
  </w:style>
  <w:style w:type="paragraph" w:styleId="FootnoteText">
    <w:name w:val="footnote text"/>
    <w:basedOn w:val="Normal"/>
    <w:link w:val="FootnoteTextChar"/>
    <w:uiPriority w:val="99"/>
    <w:semiHidden/>
    <w:unhideWhenUsed/>
    <w:rsid w:val="004B6F6E"/>
  </w:style>
  <w:style w:type="character" w:customStyle="1" w:styleId="FootnoteTextChar">
    <w:name w:val="Footnote Text Char"/>
    <w:basedOn w:val="DefaultParagraphFont"/>
    <w:link w:val="FootnoteText"/>
    <w:uiPriority w:val="99"/>
    <w:semiHidden/>
    <w:rsid w:val="004B6F6E"/>
  </w:style>
  <w:style w:type="table" w:styleId="TableGrid">
    <w:name w:val="Table Grid"/>
    <w:basedOn w:val="TableNormal"/>
    <w:uiPriority w:val="59"/>
    <w:rsid w:val="004B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A6985"/>
    <w:rPr>
      <w:color w:val="808080"/>
      <w:shd w:val="clear" w:color="auto" w:fill="E6E6E6"/>
    </w:rPr>
  </w:style>
  <w:style w:type="character" w:customStyle="1" w:styleId="UnresolvedMention2">
    <w:name w:val="Unresolved Mention2"/>
    <w:basedOn w:val="DefaultParagraphFont"/>
    <w:uiPriority w:val="99"/>
    <w:semiHidden/>
    <w:unhideWhenUsed/>
    <w:rsid w:val="009B3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3318">
      <w:bodyDiv w:val="1"/>
      <w:marLeft w:val="0"/>
      <w:marRight w:val="0"/>
      <w:marTop w:val="0"/>
      <w:marBottom w:val="0"/>
      <w:divBdr>
        <w:top w:val="none" w:sz="0" w:space="0" w:color="auto"/>
        <w:left w:val="none" w:sz="0" w:space="0" w:color="auto"/>
        <w:bottom w:val="none" w:sz="0" w:space="0" w:color="auto"/>
        <w:right w:val="none" w:sz="0" w:space="0" w:color="auto"/>
      </w:divBdr>
    </w:div>
    <w:div w:id="389425699">
      <w:bodyDiv w:val="1"/>
      <w:marLeft w:val="0"/>
      <w:marRight w:val="0"/>
      <w:marTop w:val="0"/>
      <w:marBottom w:val="0"/>
      <w:divBdr>
        <w:top w:val="none" w:sz="0" w:space="0" w:color="auto"/>
        <w:left w:val="none" w:sz="0" w:space="0" w:color="auto"/>
        <w:bottom w:val="none" w:sz="0" w:space="0" w:color="auto"/>
        <w:right w:val="none" w:sz="0" w:space="0" w:color="auto"/>
      </w:divBdr>
      <w:divsChild>
        <w:div w:id="999229975">
          <w:marLeft w:val="274"/>
          <w:marRight w:val="0"/>
          <w:marTop w:val="0"/>
          <w:marBottom w:val="0"/>
          <w:divBdr>
            <w:top w:val="none" w:sz="0" w:space="0" w:color="auto"/>
            <w:left w:val="none" w:sz="0" w:space="0" w:color="auto"/>
            <w:bottom w:val="none" w:sz="0" w:space="0" w:color="auto"/>
            <w:right w:val="none" w:sz="0" w:space="0" w:color="auto"/>
          </w:divBdr>
        </w:div>
        <w:div w:id="1150367145">
          <w:marLeft w:val="274"/>
          <w:marRight w:val="0"/>
          <w:marTop w:val="0"/>
          <w:marBottom w:val="0"/>
          <w:divBdr>
            <w:top w:val="none" w:sz="0" w:space="0" w:color="auto"/>
            <w:left w:val="none" w:sz="0" w:space="0" w:color="auto"/>
            <w:bottom w:val="none" w:sz="0" w:space="0" w:color="auto"/>
            <w:right w:val="none" w:sz="0" w:space="0" w:color="auto"/>
          </w:divBdr>
        </w:div>
        <w:div w:id="1548909290">
          <w:marLeft w:val="274"/>
          <w:marRight w:val="0"/>
          <w:marTop w:val="0"/>
          <w:marBottom w:val="0"/>
          <w:divBdr>
            <w:top w:val="none" w:sz="0" w:space="0" w:color="auto"/>
            <w:left w:val="none" w:sz="0" w:space="0" w:color="auto"/>
            <w:bottom w:val="none" w:sz="0" w:space="0" w:color="auto"/>
            <w:right w:val="none" w:sz="0" w:space="0" w:color="auto"/>
          </w:divBdr>
        </w:div>
        <w:div w:id="1980189466">
          <w:marLeft w:val="274"/>
          <w:marRight w:val="0"/>
          <w:marTop w:val="0"/>
          <w:marBottom w:val="0"/>
          <w:divBdr>
            <w:top w:val="none" w:sz="0" w:space="0" w:color="auto"/>
            <w:left w:val="none" w:sz="0" w:space="0" w:color="auto"/>
            <w:bottom w:val="none" w:sz="0" w:space="0" w:color="auto"/>
            <w:right w:val="none" w:sz="0" w:space="0" w:color="auto"/>
          </w:divBdr>
        </w:div>
      </w:divsChild>
    </w:div>
    <w:div w:id="438718649">
      <w:bodyDiv w:val="1"/>
      <w:marLeft w:val="0"/>
      <w:marRight w:val="0"/>
      <w:marTop w:val="0"/>
      <w:marBottom w:val="0"/>
      <w:divBdr>
        <w:top w:val="none" w:sz="0" w:space="0" w:color="auto"/>
        <w:left w:val="none" w:sz="0" w:space="0" w:color="auto"/>
        <w:bottom w:val="none" w:sz="0" w:space="0" w:color="auto"/>
        <w:right w:val="none" w:sz="0" w:space="0" w:color="auto"/>
      </w:divBdr>
      <w:divsChild>
        <w:div w:id="1211384964">
          <w:marLeft w:val="274"/>
          <w:marRight w:val="0"/>
          <w:marTop w:val="0"/>
          <w:marBottom w:val="0"/>
          <w:divBdr>
            <w:top w:val="none" w:sz="0" w:space="0" w:color="auto"/>
            <w:left w:val="none" w:sz="0" w:space="0" w:color="auto"/>
            <w:bottom w:val="none" w:sz="0" w:space="0" w:color="auto"/>
            <w:right w:val="none" w:sz="0" w:space="0" w:color="auto"/>
          </w:divBdr>
        </w:div>
      </w:divsChild>
    </w:div>
    <w:div w:id="474297054">
      <w:bodyDiv w:val="1"/>
      <w:marLeft w:val="0"/>
      <w:marRight w:val="0"/>
      <w:marTop w:val="0"/>
      <w:marBottom w:val="0"/>
      <w:divBdr>
        <w:top w:val="none" w:sz="0" w:space="0" w:color="auto"/>
        <w:left w:val="none" w:sz="0" w:space="0" w:color="auto"/>
        <w:bottom w:val="none" w:sz="0" w:space="0" w:color="auto"/>
        <w:right w:val="none" w:sz="0" w:space="0" w:color="auto"/>
      </w:divBdr>
    </w:div>
    <w:div w:id="966081020">
      <w:bodyDiv w:val="1"/>
      <w:marLeft w:val="0"/>
      <w:marRight w:val="0"/>
      <w:marTop w:val="0"/>
      <w:marBottom w:val="0"/>
      <w:divBdr>
        <w:top w:val="none" w:sz="0" w:space="0" w:color="auto"/>
        <w:left w:val="none" w:sz="0" w:space="0" w:color="auto"/>
        <w:bottom w:val="none" w:sz="0" w:space="0" w:color="auto"/>
        <w:right w:val="none" w:sz="0" w:space="0" w:color="auto"/>
      </w:divBdr>
    </w:div>
    <w:div w:id="1314530744">
      <w:bodyDiv w:val="1"/>
      <w:marLeft w:val="0"/>
      <w:marRight w:val="0"/>
      <w:marTop w:val="0"/>
      <w:marBottom w:val="0"/>
      <w:divBdr>
        <w:top w:val="none" w:sz="0" w:space="0" w:color="auto"/>
        <w:left w:val="none" w:sz="0" w:space="0" w:color="auto"/>
        <w:bottom w:val="none" w:sz="0" w:space="0" w:color="auto"/>
        <w:right w:val="none" w:sz="0" w:space="0" w:color="auto"/>
      </w:divBdr>
    </w:div>
    <w:div w:id="1551652036">
      <w:bodyDiv w:val="1"/>
      <w:marLeft w:val="0"/>
      <w:marRight w:val="0"/>
      <w:marTop w:val="0"/>
      <w:marBottom w:val="0"/>
      <w:divBdr>
        <w:top w:val="none" w:sz="0" w:space="0" w:color="auto"/>
        <w:left w:val="none" w:sz="0" w:space="0" w:color="auto"/>
        <w:bottom w:val="none" w:sz="0" w:space="0" w:color="auto"/>
        <w:right w:val="none" w:sz="0" w:space="0" w:color="auto"/>
      </w:divBdr>
      <w:divsChild>
        <w:div w:id="1153958151">
          <w:marLeft w:val="274"/>
          <w:marRight w:val="0"/>
          <w:marTop w:val="0"/>
          <w:marBottom w:val="0"/>
          <w:divBdr>
            <w:top w:val="none" w:sz="0" w:space="0" w:color="auto"/>
            <w:left w:val="none" w:sz="0" w:space="0" w:color="auto"/>
            <w:bottom w:val="none" w:sz="0" w:space="0" w:color="auto"/>
            <w:right w:val="none" w:sz="0" w:space="0" w:color="auto"/>
          </w:divBdr>
        </w:div>
        <w:div w:id="1254439696">
          <w:marLeft w:val="274"/>
          <w:marRight w:val="0"/>
          <w:marTop w:val="0"/>
          <w:marBottom w:val="0"/>
          <w:divBdr>
            <w:top w:val="none" w:sz="0" w:space="0" w:color="auto"/>
            <w:left w:val="none" w:sz="0" w:space="0" w:color="auto"/>
            <w:bottom w:val="none" w:sz="0" w:space="0" w:color="auto"/>
            <w:right w:val="none" w:sz="0" w:space="0" w:color="auto"/>
          </w:divBdr>
        </w:div>
        <w:div w:id="1698654942">
          <w:marLeft w:val="274"/>
          <w:marRight w:val="0"/>
          <w:marTop w:val="0"/>
          <w:marBottom w:val="0"/>
          <w:divBdr>
            <w:top w:val="none" w:sz="0" w:space="0" w:color="auto"/>
            <w:left w:val="none" w:sz="0" w:space="0" w:color="auto"/>
            <w:bottom w:val="none" w:sz="0" w:space="0" w:color="auto"/>
            <w:right w:val="none" w:sz="0" w:space="0" w:color="auto"/>
          </w:divBdr>
        </w:div>
      </w:divsChild>
    </w:div>
    <w:div w:id="1740900360">
      <w:bodyDiv w:val="1"/>
      <w:marLeft w:val="0"/>
      <w:marRight w:val="0"/>
      <w:marTop w:val="0"/>
      <w:marBottom w:val="0"/>
      <w:divBdr>
        <w:top w:val="none" w:sz="0" w:space="0" w:color="auto"/>
        <w:left w:val="none" w:sz="0" w:space="0" w:color="auto"/>
        <w:bottom w:val="none" w:sz="0" w:space="0" w:color="auto"/>
        <w:right w:val="none" w:sz="0" w:space="0" w:color="auto"/>
      </w:divBdr>
      <w:divsChild>
        <w:div w:id="1191189085">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terpriseresearch.ac.uk" TargetMode="External"/><Relationship Id="rId13" Type="http://schemas.openxmlformats.org/officeDocument/2006/relationships/hyperlink" Target="mailto:james@journalista.co.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enterpriseresearc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www.enterpriseresearch.ac.uk/our-work/publications/erc-reports/"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ames\Soonr%20Workplace\Client%20folders\Enterprise%20Research%20Centre%20(ERC)\Research\GEM%202017%20NI%20analysis_invest%20n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ames\Soonr%20Workplace\Client%20folders\Enterprise%20Research%20Centre%20(ERC)\Research\GEM%202017%20NI%20analysis_invest%20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3'!$B$4</c:f>
              <c:strCache>
                <c:ptCount val="1"/>
                <c:pt idx="0">
                  <c:v>N. Ireland</c:v>
                </c:pt>
              </c:strCache>
            </c:strRef>
          </c:tx>
          <c:cat>
            <c:numRef>
              <c:f>'Figure 3'!$A$5:$A$20</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'Figure 3'!$B$5:$B$20</c:f>
              <c:numCache>
                <c:formatCode>0.0%</c:formatCode>
                <c:ptCount val="16"/>
                <c:pt idx="0">
                  <c:v>3.6802099999999997E-2</c:v>
                </c:pt>
                <c:pt idx="1">
                  <c:v>5.2146900000000003E-2</c:v>
                </c:pt>
                <c:pt idx="2">
                  <c:v>5.2894400000000001E-2</c:v>
                </c:pt>
                <c:pt idx="3">
                  <c:v>4.8284800000000003E-2</c:v>
                </c:pt>
                <c:pt idx="4">
                  <c:v>3.6818999999999998E-2</c:v>
                </c:pt>
                <c:pt idx="5">
                  <c:v>4.8840599999999998E-2</c:v>
                </c:pt>
                <c:pt idx="6">
                  <c:v>4.8278599999999998E-2</c:v>
                </c:pt>
                <c:pt idx="7">
                  <c:v>5.1869199999999997E-2</c:v>
                </c:pt>
                <c:pt idx="8">
                  <c:v>6.4472500000000002E-2</c:v>
                </c:pt>
                <c:pt idx="9">
                  <c:v>7.1173600000000004E-2</c:v>
                </c:pt>
                <c:pt idx="10">
                  <c:v>7.1356600000000006E-2</c:v>
                </c:pt>
                <c:pt idx="11">
                  <c:v>5.1463599999999998E-2</c:v>
                </c:pt>
                <c:pt idx="12">
                  <c:v>6.7426E-2</c:v>
                </c:pt>
                <c:pt idx="13">
                  <c:v>5.3844999999999997E-2</c:v>
                </c:pt>
                <c:pt idx="14">
                  <c:v>6.3279000000000002E-2</c:v>
                </c:pt>
                <c:pt idx="15">
                  <c:v>6.4637E-2</c:v>
                </c:pt>
              </c:numCache>
            </c:numRef>
          </c:val>
          <c:smooth val="0"/>
          <c:extLst xmlns:c16r2="http://schemas.microsoft.com/office/drawing/2015/06/chart">
            <c:ext xmlns:c16="http://schemas.microsoft.com/office/drawing/2014/chart" uri="{C3380CC4-5D6E-409C-BE32-E72D297353CC}">
              <c16:uniqueId val="{00000000-0A35-435E-A08F-FCD335631140}"/>
            </c:ext>
          </c:extLst>
        </c:ser>
        <c:ser>
          <c:idx val="1"/>
          <c:order val="1"/>
          <c:tx>
            <c:strRef>
              <c:f>'Figure 3'!$C$4</c:f>
              <c:strCache>
                <c:ptCount val="1"/>
                <c:pt idx="0">
                  <c:v>UK</c:v>
                </c:pt>
              </c:strCache>
            </c:strRef>
          </c:tx>
          <c:cat>
            <c:numRef>
              <c:f>'Figure 3'!$A$5:$A$20</c:f>
              <c:numCache>
                <c:formatCode>General</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'Figure 3'!$C$5:$C$20</c:f>
              <c:numCache>
                <c:formatCode>0.0%</c:formatCode>
                <c:ptCount val="16"/>
                <c:pt idx="0">
                  <c:v>5.4427400000000001E-2</c:v>
                </c:pt>
                <c:pt idx="1">
                  <c:v>6.3349100000000005E-2</c:v>
                </c:pt>
                <c:pt idx="2">
                  <c:v>5.8447300000000001E-2</c:v>
                </c:pt>
                <c:pt idx="3">
                  <c:v>6.0427799999999997E-2</c:v>
                </c:pt>
                <c:pt idx="4">
                  <c:v>5.8229799999999998E-2</c:v>
                </c:pt>
                <c:pt idx="5">
                  <c:v>5.5759099999999999E-2</c:v>
                </c:pt>
                <c:pt idx="6">
                  <c:v>5.5346100000000002E-2</c:v>
                </c:pt>
                <c:pt idx="7">
                  <c:v>5.7747199999999999E-2</c:v>
                </c:pt>
                <c:pt idx="8">
                  <c:v>6.4676999999999998E-2</c:v>
                </c:pt>
                <c:pt idx="9">
                  <c:v>7.5916499999999998E-2</c:v>
                </c:pt>
                <c:pt idx="10">
                  <c:v>9.7766099999999995E-2</c:v>
                </c:pt>
                <c:pt idx="11">
                  <c:v>7.2586800000000007E-2</c:v>
                </c:pt>
                <c:pt idx="12">
                  <c:v>8.61344E-2</c:v>
                </c:pt>
                <c:pt idx="13">
                  <c:v>7.0594799999999999E-2</c:v>
                </c:pt>
                <c:pt idx="14">
                  <c:v>8.8398000000000004E-2</c:v>
                </c:pt>
                <c:pt idx="15">
                  <c:v>8.7292999999999996E-2</c:v>
                </c:pt>
              </c:numCache>
            </c:numRef>
          </c:val>
          <c:smooth val="0"/>
          <c:extLst xmlns:c16r2="http://schemas.microsoft.com/office/drawing/2015/06/chart">
            <c:ext xmlns:c16="http://schemas.microsoft.com/office/drawing/2014/chart" uri="{C3380CC4-5D6E-409C-BE32-E72D297353CC}">
              <c16:uniqueId val="{00000001-0A35-435E-A08F-FCD335631140}"/>
            </c:ext>
          </c:extLst>
        </c:ser>
        <c:dLbls>
          <c:showLegendKey val="0"/>
          <c:showVal val="0"/>
          <c:showCatName val="0"/>
          <c:showSerName val="0"/>
          <c:showPercent val="0"/>
          <c:showBubbleSize val="0"/>
        </c:dLbls>
        <c:marker val="1"/>
        <c:smooth val="0"/>
        <c:axId val="293505488"/>
        <c:axId val="293506272"/>
      </c:lineChart>
      <c:catAx>
        <c:axId val="293505488"/>
        <c:scaling>
          <c:orientation val="minMax"/>
        </c:scaling>
        <c:delete val="0"/>
        <c:axPos val="b"/>
        <c:numFmt formatCode="General" sourceLinked="1"/>
        <c:majorTickMark val="out"/>
        <c:minorTickMark val="none"/>
        <c:tickLblPos val="nextTo"/>
        <c:crossAx val="293506272"/>
        <c:crosses val="autoZero"/>
        <c:auto val="1"/>
        <c:lblAlgn val="ctr"/>
        <c:lblOffset val="100"/>
        <c:noMultiLvlLbl val="0"/>
      </c:catAx>
      <c:valAx>
        <c:axId val="293506272"/>
        <c:scaling>
          <c:orientation val="minMax"/>
        </c:scaling>
        <c:delete val="0"/>
        <c:axPos val="l"/>
        <c:majorGridlines/>
        <c:title>
          <c:tx>
            <c:rich>
              <a:bodyPr rot="-5400000" vert="horz"/>
              <a:lstStyle/>
              <a:p>
                <a:pPr>
                  <a:defRPr/>
                </a:pPr>
                <a:r>
                  <a:rPr lang="en-US"/>
                  <a:t>% of Adult Population aged 18-64 years</a:t>
                </a:r>
              </a:p>
            </c:rich>
          </c:tx>
          <c:overlay val="0"/>
        </c:title>
        <c:numFmt formatCode="0%" sourceLinked="0"/>
        <c:majorTickMark val="out"/>
        <c:minorTickMark val="none"/>
        <c:tickLblPos val="nextTo"/>
        <c:crossAx val="293505488"/>
        <c:crosses val="autoZero"/>
        <c:crossBetween val="between"/>
      </c:valAx>
    </c:plotArea>
    <c:legend>
      <c:legendPos val="t"/>
      <c:overlay val="0"/>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'Figure 5'!$C$4</c:f>
              <c:strCache>
                <c:ptCount val="1"/>
                <c:pt idx="0">
                  <c:v>Antrim and Newtownabbey</c:v>
                </c:pt>
              </c:strCache>
            </c:strRef>
          </c:tx>
          <c:marker>
            <c:symbol val="none"/>
          </c:marker>
          <c:cat>
            <c:strRef>
              <c:f>'Figure 5'!$B$5:$B$18</c:f>
              <c:strCache>
                <c:ptCount val="14"/>
                <c:pt idx="0">
                  <c:v>2002-04</c:v>
                </c:pt>
                <c:pt idx="1">
                  <c:v>2003-05</c:v>
                </c:pt>
                <c:pt idx="2">
                  <c:v>2004-06</c:v>
                </c:pt>
                <c:pt idx="3">
                  <c:v>2005-07</c:v>
                </c:pt>
                <c:pt idx="4">
                  <c:v>2006-08</c:v>
                </c:pt>
                <c:pt idx="5">
                  <c:v>2007-09</c:v>
                </c:pt>
                <c:pt idx="6">
                  <c:v>2008-10</c:v>
                </c:pt>
                <c:pt idx="7">
                  <c:v>2009-11</c:v>
                </c:pt>
                <c:pt idx="8">
                  <c:v>2010-12</c:v>
                </c:pt>
                <c:pt idx="9">
                  <c:v>2011-13</c:v>
                </c:pt>
                <c:pt idx="10">
                  <c:v>2012-14</c:v>
                </c:pt>
                <c:pt idx="11">
                  <c:v>2013-15</c:v>
                </c:pt>
                <c:pt idx="12">
                  <c:v>2014-16</c:v>
                </c:pt>
                <c:pt idx="13">
                  <c:v>2015-17</c:v>
                </c:pt>
              </c:strCache>
            </c:strRef>
          </c:cat>
          <c:val>
            <c:numRef>
              <c:f>'Figure 5'!$C$5:$C$18</c:f>
              <c:numCache>
                <c:formatCode>0.0%</c:formatCode>
                <c:ptCount val="14"/>
                <c:pt idx="0">
                  <c:v>5.4387533333333328E-2</c:v>
                </c:pt>
                <c:pt idx="1">
                  <c:v>3.9481066666666668E-2</c:v>
                </c:pt>
                <c:pt idx="2">
                  <c:v>3.8191499999999996E-2</c:v>
                </c:pt>
                <c:pt idx="3">
                  <c:v>3.1904300000000003E-2</c:v>
                </c:pt>
                <c:pt idx="4">
                  <c:v>4.7820933333333336E-2</c:v>
                </c:pt>
                <c:pt idx="5">
                  <c:v>5.0592666666666675E-2</c:v>
                </c:pt>
                <c:pt idx="6">
                  <c:v>6.5441166666666675E-2</c:v>
                </c:pt>
                <c:pt idx="7">
                  <c:v>6.0794233333333336E-2</c:v>
                </c:pt>
                <c:pt idx="8">
                  <c:v>6.8720533333333333E-2</c:v>
                </c:pt>
                <c:pt idx="9">
                  <c:v>5.410383333333333E-2</c:v>
                </c:pt>
                <c:pt idx="10">
                  <c:v>4.82835E-2</c:v>
                </c:pt>
                <c:pt idx="11">
                  <c:v>4.2253833333333331E-2</c:v>
                </c:pt>
                <c:pt idx="12">
                  <c:v>4.7412000000000003E-2</c:v>
                </c:pt>
                <c:pt idx="13">
                  <c:v>5.2951566666666672E-2</c:v>
                </c:pt>
              </c:numCache>
            </c:numRef>
          </c:val>
          <c:smooth val="0"/>
          <c:extLst xmlns:c16r2="http://schemas.microsoft.com/office/drawing/2015/06/chart">
            <c:ext xmlns:c16="http://schemas.microsoft.com/office/drawing/2014/chart" uri="{C3380CC4-5D6E-409C-BE32-E72D297353CC}">
              <c16:uniqueId val="{00000000-4488-47BD-8614-9F7402CE5B73}"/>
            </c:ext>
          </c:extLst>
        </c:ser>
        <c:ser>
          <c:idx val="1"/>
          <c:order val="1"/>
          <c:tx>
            <c:strRef>
              <c:f>'Figure 5'!$D$4</c:f>
              <c:strCache>
                <c:ptCount val="1"/>
                <c:pt idx="0">
                  <c:v>Armagh, Banbridge and Craigavon</c:v>
                </c:pt>
              </c:strCache>
            </c:strRef>
          </c:tx>
          <c:spPr>
            <a:ln>
              <a:solidFill>
                <a:schemeClr val="accent2">
                  <a:lumMod val="60000"/>
                  <a:lumOff val="40000"/>
                </a:schemeClr>
              </a:solidFill>
            </a:ln>
          </c:spPr>
          <c:marker>
            <c:symbol val="none"/>
          </c:marker>
          <c:cat>
            <c:strRef>
              <c:f>'Figure 5'!$B$5:$B$18</c:f>
              <c:strCache>
                <c:ptCount val="14"/>
                <c:pt idx="0">
                  <c:v>2002-04</c:v>
                </c:pt>
                <c:pt idx="1">
                  <c:v>2003-05</c:v>
                </c:pt>
                <c:pt idx="2">
                  <c:v>2004-06</c:v>
                </c:pt>
                <c:pt idx="3">
                  <c:v>2005-07</c:v>
                </c:pt>
                <c:pt idx="4">
                  <c:v>2006-08</c:v>
                </c:pt>
                <c:pt idx="5">
                  <c:v>2007-09</c:v>
                </c:pt>
                <c:pt idx="6">
                  <c:v>2008-10</c:v>
                </c:pt>
                <c:pt idx="7">
                  <c:v>2009-11</c:v>
                </c:pt>
                <c:pt idx="8">
                  <c:v>2010-12</c:v>
                </c:pt>
                <c:pt idx="9">
                  <c:v>2011-13</c:v>
                </c:pt>
                <c:pt idx="10">
                  <c:v>2012-14</c:v>
                </c:pt>
                <c:pt idx="11">
                  <c:v>2013-15</c:v>
                </c:pt>
                <c:pt idx="12">
                  <c:v>2014-16</c:v>
                </c:pt>
                <c:pt idx="13">
                  <c:v>2015-17</c:v>
                </c:pt>
              </c:strCache>
            </c:strRef>
          </c:cat>
          <c:val>
            <c:numRef>
              <c:f>'Figure 5'!$D$5:$D$18</c:f>
              <c:numCache>
                <c:formatCode>0.0%</c:formatCode>
                <c:ptCount val="14"/>
                <c:pt idx="0">
                  <c:v>4.4388033333333334E-2</c:v>
                </c:pt>
                <c:pt idx="1">
                  <c:v>5.2288433333333335E-2</c:v>
                </c:pt>
                <c:pt idx="2">
                  <c:v>4.2270099999999998E-2</c:v>
                </c:pt>
                <c:pt idx="3">
                  <c:v>5.0296433333333335E-2</c:v>
                </c:pt>
                <c:pt idx="4">
                  <c:v>4.5913066666666669E-2</c:v>
                </c:pt>
                <c:pt idx="5">
                  <c:v>5.6137566666666666E-2</c:v>
                </c:pt>
                <c:pt idx="6">
                  <c:v>6.596793333333334E-2</c:v>
                </c:pt>
                <c:pt idx="7">
                  <c:v>7.8248766666666678E-2</c:v>
                </c:pt>
                <c:pt idx="8">
                  <c:v>0.11034200000000001</c:v>
                </c:pt>
                <c:pt idx="9">
                  <c:v>0.10357956666666666</c:v>
                </c:pt>
                <c:pt idx="10">
                  <c:v>9.4495066666666669E-2</c:v>
                </c:pt>
                <c:pt idx="11">
                  <c:v>5.3502399999999999E-2</c:v>
                </c:pt>
                <c:pt idx="12">
                  <c:v>4.4995399999999998E-2</c:v>
                </c:pt>
                <c:pt idx="13">
                  <c:v>5.8281933333333334E-2</c:v>
                </c:pt>
              </c:numCache>
            </c:numRef>
          </c:val>
          <c:smooth val="0"/>
          <c:extLst xmlns:c16r2="http://schemas.microsoft.com/office/drawing/2015/06/chart">
            <c:ext xmlns:c16="http://schemas.microsoft.com/office/drawing/2014/chart" uri="{C3380CC4-5D6E-409C-BE32-E72D297353CC}">
              <c16:uniqueId val="{00000001-4488-47BD-8614-9F7402CE5B73}"/>
            </c:ext>
          </c:extLst>
        </c:ser>
        <c:ser>
          <c:idx val="2"/>
          <c:order val="2"/>
          <c:tx>
            <c:strRef>
              <c:f>'Figure 5'!$E$4</c:f>
              <c:strCache>
                <c:ptCount val="1"/>
                <c:pt idx="0">
                  <c:v>Ards and North Down</c:v>
                </c:pt>
              </c:strCache>
            </c:strRef>
          </c:tx>
          <c:spPr>
            <a:ln>
              <a:solidFill>
                <a:schemeClr val="bg1">
                  <a:lumMod val="65000"/>
                </a:schemeClr>
              </a:solidFill>
            </a:ln>
          </c:spPr>
          <c:marker>
            <c:symbol val="none"/>
          </c:marker>
          <c:cat>
            <c:strRef>
              <c:f>'Figure 5'!$B$5:$B$18</c:f>
              <c:strCache>
                <c:ptCount val="14"/>
                <c:pt idx="0">
                  <c:v>2002-04</c:v>
                </c:pt>
                <c:pt idx="1">
                  <c:v>2003-05</c:v>
                </c:pt>
                <c:pt idx="2">
                  <c:v>2004-06</c:v>
                </c:pt>
                <c:pt idx="3">
                  <c:v>2005-07</c:v>
                </c:pt>
                <c:pt idx="4">
                  <c:v>2006-08</c:v>
                </c:pt>
                <c:pt idx="5">
                  <c:v>2007-09</c:v>
                </c:pt>
                <c:pt idx="6">
                  <c:v>2008-10</c:v>
                </c:pt>
                <c:pt idx="7">
                  <c:v>2009-11</c:v>
                </c:pt>
                <c:pt idx="8">
                  <c:v>2010-12</c:v>
                </c:pt>
                <c:pt idx="9">
                  <c:v>2011-13</c:v>
                </c:pt>
                <c:pt idx="10">
                  <c:v>2012-14</c:v>
                </c:pt>
                <c:pt idx="11">
                  <c:v>2013-15</c:v>
                </c:pt>
                <c:pt idx="12">
                  <c:v>2014-16</c:v>
                </c:pt>
                <c:pt idx="13">
                  <c:v>2015-17</c:v>
                </c:pt>
              </c:strCache>
            </c:strRef>
          </c:cat>
          <c:val>
            <c:numRef>
              <c:f>'Figure 5'!$E$5:$E$18</c:f>
              <c:numCache>
                <c:formatCode>0.0%</c:formatCode>
                <c:ptCount val="14"/>
                <c:pt idx="0">
                  <c:v>4.4755999999999997E-2</c:v>
                </c:pt>
                <c:pt idx="1">
                  <c:v>4.6037600000000005E-2</c:v>
                </c:pt>
                <c:pt idx="2">
                  <c:v>4.5793733333333336E-2</c:v>
                </c:pt>
                <c:pt idx="3">
                  <c:v>4.7066799999999999E-2</c:v>
                </c:pt>
                <c:pt idx="4">
                  <c:v>4.5672899999999995E-2</c:v>
                </c:pt>
                <c:pt idx="5">
                  <c:v>6.1497666666666673E-2</c:v>
                </c:pt>
                <c:pt idx="6">
                  <c:v>7.2593066666666664E-2</c:v>
                </c:pt>
                <c:pt idx="7">
                  <c:v>7.0093733333333338E-2</c:v>
                </c:pt>
                <c:pt idx="8">
                  <c:v>6.6402266666666668E-2</c:v>
                </c:pt>
                <c:pt idx="9">
                  <c:v>5.3911066666666667E-2</c:v>
                </c:pt>
                <c:pt idx="10">
                  <c:v>6.9501166666666669E-2</c:v>
                </c:pt>
                <c:pt idx="11">
                  <c:v>5.6453233333333332E-2</c:v>
                </c:pt>
                <c:pt idx="12">
                  <c:v>6.7026266666666667E-2</c:v>
                </c:pt>
                <c:pt idx="13">
                  <c:v>5.3577166666666669E-2</c:v>
                </c:pt>
              </c:numCache>
            </c:numRef>
          </c:val>
          <c:smooth val="0"/>
          <c:extLst xmlns:c16r2="http://schemas.microsoft.com/office/drawing/2015/06/chart">
            <c:ext xmlns:c16="http://schemas.microsoft.com/office/drawing/2014/chart" uri="{C3380CC4-5D6E-409C-BE32-E72D297353CC}">
              <c16:uniqueId val="{00000002-4488-47BD-8614-9F7402CE5B73}"/>
            </c:ext>
          </c:extLst>
        </c:ser>
        <c:ser>
          <c:idx val="3"/>
          <c:order val="3"/>
          <c:tx>
            <c:strRef>
              <c:f>'Figure 5'!$F$4</c:f>
              <c:strCache>
                <c:ptCount val="1"/>
                <c:pt idx="0">
                  <c:v>Belfast City</c:v>
                </c:pt>
              </c:strCache>
            </c:strRef>
          </c:tx>
          <c:spPr>
            <a:ln>
              <a:solidFill>
                <a:srgbClr val="C00000"/>
              </a:solidFill>
            </a:ln>
          </c:spPr>
          <c:marker>
            <c:symbol val="none"/>
          </c:marker>
          <c:cat>
            <c:strRef>
              <c:f>'Figure 5'!$B$5:$B$18</c:f>
              <c:strCache>
                <c:ptCount val="14"/>
                <c:pt idx="0">
                  <c:v>2002-04</c:v>
                </c:pt>
                <c:pt idx="1">
                  <c:v>2003-05</c:v>
                </c:pt>
                <c:pt idx="2">
                  <c:v>2004-06</c:v>
                </c:pt>
                <c:pt idx="3">
                  <c:v>2005-07</c:v>
                </c:pt>
                <c:pt idx="4">
                  <c:v>2006-08</c:v>
                </c:pt>
                <c:pt idx="5">
                  <c:v>2007-09</c:v>
                </c:pt>
                <c:pt idx="6">
                  <c:v>2008-10</c:v>
                </c:pt>
                <c:pt idx="7">
                  <c:v>2009-11</c:v>
                </c:pt>
                <c:pt idx="8">
                  <c:v>2010-12</c:v>
                </c:pt>
                <c:pt idx="9">
                  <c:v>2011-13</c:v>
                </c:pt>
                <c:pt idx="10">
                  <c:v>2012-14</c:v>
                </c:pt>
                <c:pt idx="11">
                  <c:v>2013-15</c:v>
                </c:pt>
                <c:pt idx="12">
                  <c:v>2014-16</c:v>
                </c:pt>
                <c:pt idx="13">
                  <c:v>2015-17</c:v>
                </c:pt>
              </c:strCache>
            </c:strRef>
          </c:cat>
          <c:val>
            <c:numRef>
              <c:f>'Figure 5'!$F$5:$F$18</c:f>
              <c:numCache>
                <c:formatCode>0.0%</c:formatCode>
                <c:ptCount val="14"/>
                <c:pt idx="0">
                  <c:v>3.5836333333333331E-2</c:v>
                </c:pt>
                <c:pt idx="1">
                  <c:v>4.4243900000000003E-2</c:v>
                </c:pt>
                <c:pt idx="2">
                  <c:v>3.8447566666666669E-2</c:v>
                </c:pt>
                <c:pt idx="3">
                  <c:v>3.9290100000000001E-2</c:v>
                </c:pt>
                <c:pt idx="4">
                  <c:v>4.2374699999999994E-2</c:v>
                </c:pt>
                <c:pt idx="5">
                  <c:v>4.2882533333333334E-2</c:v>
                </c:pt>
                <c:pt idx="6">
                  <c:v>4.3838066666666668E-2</c:v>
                </c:pt>
                <c:pt idx="7">
                  <c:v>4.6406533333333333E-2</c:v>
                </c:pt>
                <c:pt idx="8">
                  <c:v>4.7066366666666665E-2</c:v>
                </c:pt>
                <c:pt idx="9">
                  <c:v>4.6312833333333338E-2</c:v>
                </c:pt>
                <c:pt idx="10">
                  <c:v>4.5298766666666664E-2</c:v>
                </c:pt>
                <c:pt idx="11">
                  <c:v>4.7042733333333336E-2</c:v>
                </c:pt>
                <c:pt idx="12">
                  <c:v>5.2761333333333334E-2</c:v>
                </c:pt>
                <c:pt idx="13">
                  <c:v>5.6560766666666672E-2</c:v>
                </c:pt>
              </c:numCache>
            </c:numRef>
          </c:val>
          <c:smooth val="0"/>
          <c:extLst xmlns:c16r2="http://schemas.microsoft.com/office/drawing/2015/06/chart">
            <c:ext xmlns:c16="http://schemas.microsoft.com/office/drawing/2014/chart" uri="{C3380CC4-5D6E-409C-BE32-E72D297353CC}">
              <c16:uniqueId val="{00000003-4488-47BD-8614-9F7402CE5B73}"/>
            </c:ext>
          </c:extLst>
        </c:ser>
        <c:ser>
          <c:idx val="4"/>
          <c:order val="4"/>
          <c:tx>
            <c:strRef>
              <c:f>'Figure 5'!$G$4</c:f>
              <c:strCache>
                <c:ptCount val="1"/>
                <c:pt idx="0">
                  <c:v>Causeway Coast and Glens</c:v>
                </c:pt>
              </c:strCache>
            </c:strRef>
          </c:tx>
          <c:spPr>
            <a:ln>
              <a:solidFill>
                <a:schemeClr val="accent3">
                  <a:lumMod val="75000"/>
                </a:schemeClr>
              </a:solidFill>
            </a:ln>
          </c:spPr>
          <c:marker>
            <c:symbol val="none"/>
          </c:marker>
          <c:cat>
            <c:strRef>
              <c:f>'Figure 5'!$B$5:$B$18</c:f>
              <c:strCache>
                <c:ptCount val="14"/>
                <c:pt idx="0">
                  <c:v>2002-04</c:v>
                </c:pt>
                <c:pt idx="1">
                  <c:v>2003-05</c:v>
                </c:pt>
                <c:pt idx="2">
                  <c:v>2004-06</c:v>
                </c:pt>
                <c:pt idx="3">
                  <c:v>2005-07</c:v>
                </c:pt>
                <c:pt idx="4">
                  <c:v>2006-08</c:v>
                </c:pt>
                <c:pt idx="5">
                  <c:v>2007-09</c:v>
                </c:pt>
                <c:pt idx="6">
                  <c:v>2008-10</c:v>
                </c:pt>
                <c:pt idx="7">
                  <c:v>2009-11</c:v>
                </c:pt>
                <c:pt idx="8">
                  <c:v>2010-12</c:v>
                </c:pt>
                <c:pt idx="9">
                  <c:v>2011-13</c:v>
                </c:pt>
                <c:pt idx="10">
                  <c:v>2012-14</c:v>
                </c:pt>
                <c:pt idx="11">
                  <c:v>2013-15</c:v>
                </c:pt>
                <c:pt idx="12">
                  <c:v>2014-16</c:v>
                </c:pt>
                <c:pt idx="13">
                  <c:v>2015-17</c:v>
                </c:pt>
              </c:strCache>
            </c:strRef>
          </c:cat>
          <c:val>
            <c:numRef>
              <c:f>'Figure 5'!$G$5:$G$18</c:f>
              <c:numCache>
                <c:formatCode>0.0%</c:formatCode>
                <c:ptCount val="14"/>
                <c:pt idx="0">
                  <c:v>3.66205E-2</c:v>
                </c:pt>
                <c:pt idx="1">
                  <c:v>4.9335999999999998E-2</c:v>
                </c:pt>
                <c:pt idx="2">
                  <c:v>3.9446700000000001E-2</c:v>
                </c:pt>
                <c:pt idx="3">
                  <c:v>4.614363333333333E-2</c:v>
                </c:pt>
                <c:pt idx="4">
                  <c:v>3.8827533333333331E-2</c:v>
                </c:pt>
                <c:pt idx="5">
                  <c:v>4.2531533333333336E-2</c:v>
                </c:pt>
                <c:pt idx="6">
                  <c:v>3.9063533333333338E-2</c:v>
                </c:pt>
                <c:pt idx="7">
                  <c:v>5.599426666666666E-2</c:v>
                </c:pt>
                <c:pt idx="8">
                  <c:v>6.4324699999999999E-2</c:v>
                </c:pt>
                <c:pt idx="9">
                  <c:v>5.9249666666666666E-2</c:v>
                </c:pt>
                <c:pt idx="10">
                  <c:v>5.9300399999999996E-2</c:v>
                </c:pt>
                <c:pt idx="11">
                  <c:v>5.8411199999999996E-2</c:v>
                </c:pt>
                <c:pt idx="12">
                  <c:v>6.3911200000000001E-2</c:v>
                </c:pt>
                <c:pt idx="13">
                  <c:v>5.7828999999999998E-2</c:v>
                </c:pt>
              </c:numCache>
            </c:numRef>
          </c:val>
          <c:smooth val="0"/>
          <c:extLst xmlns:c16r2="http://schemas.microsoft.com/office/drawing/2015/06/chart">
            <c:ext xmlns:c16="http://schemas.microsoft.com/office/drawing/2014/chart" uri="{C3380CC4-5D6E-409C-BE32-E72D297353CC}">
              <c16:uniqueId val="{00000004-4488-47BD-8614-9F7402CE5B73}"/>
            </c:ext>
          </c:extLst>
        </c:ser>
        <c:ser>
          <c:idx val="5"/>
          <c:order val="5"/>
          <c:tx>
            <c:strRef>
              <c:f>'Figure 5'!$H$4</c:f>
              <c:strCache>
                <c:ptCount val="1"/>
                <c:pt idx="0">
                  <c:v>Derry City and Strabane</c:v>
                </c:pt>
              </c:strCache>
            </c:strRef>
          </c:tx>
          <c:marker>
            <c:symbol val="none"/>
          </c:marker>
          <c:cat>
            <c:strRef>
              <c:f>'Figure 5'!$B$5:$B$18</c:f>
              <c:strCache>
                <c:ptCount val="14"/>
                <c:pt idx="0">
                  <c:v>2002-04</c:v>
                </c:pt>
                <c:pt idx="1">
                  <c:v>2003-05</c:v>
                </c:pt>
                <c:pt idx="2">
                  <c:v>2004-06</c:v>
                </c:pt>
                <c:pt idx="3">
                  <c:v>2005-07</c:v>
                </c:pt>
                <c:pt idx="4">
                  <c:v>2006-08</c:v>
                </c:pt>
                <c:pt idx="5">
                  <c:v>2007-09</c:v>
                </c:pt>
                <c:pt idx="6">
                  <c:v>2008-10</c:v>
                </c:pt>
                <c:pt idx="7">
                  <c:v>2009-11</c:v>
                </c:pt>
                <c:pt idx="8">
                  <c:v>2010-12</c:v>
                </c:pt>
                <c:pt idx="9">
                  <c:v>2011-13</c:v>
                </c:pt>
                <c:pt idx="10">
                  <c:v>2012-14</c:v>
                </c:pt>
                <c:pt idx="11">
                  <c:v>2013-15</c:v>
                </c:pt>
                <c:pt idx="12">
                  <c:v>2014-16</c:v>
                </c:pt>
                <c:pt idx="13">
                  <c:v>2015-17</c:v>
                </c:pt>
              </c:strCache>
            </c:strRef>
          </c:cat>
          <c:val>
            <c:numRef>
              <c:f>'Figure 5'!$H$5:$H$18</c:f>
              <c:numCache>
                <c:formatCode>0.0%</c:formatCode>
                <c:ptCount val="14"/>
                <c:pt idx="0">
                  <c:v>5.696593333333333E-2</c:v>
                </c:pt>
                <c:pt idx="1">
                  <c:v>4.8161733333333324E-2</c:v>
                </c:pt>
                <c:pt idx="2">
                  <c:v>4.3180999999999997E-2</c:v>
                </c:pt>
                <c:pt idx="3">
                  <c:v>4.0411900000000001E-2</c:v>
                </c:pt>
                <c:pt idx="4">
                  <c:v>2.9633299999999998E-2</c:v>
                </c:pt>
                <c:pt idx="5">
                  <c:v>3.4914066666666667E-2</c:v>
                </c:pt>
                <c:pt idx="6">
                  <c:v>2.9339033333333334E-2</c:v>
                </c:pt>
                <c:pt idx="7">
                  <c:v>3.4597166666666672E-2</c:v>
                </c:pt>
                <c:pt idx="8">
                  <c:v>4.5185900000000001E-2</c:v>
                </c:pt>
                <c:pt idx="9">
                  <c:v>5.116486666666667E-2</c:v>
                </c:pt>
                <c:pt idx="10">
                  <c:v>6.0975533333333332E-2</c:v>
                </c:pt>
                <c:pt idx="11">
                  <c:v>3.6575699999999996E-2</c:v>
                </c:pt>
                <c:pt idx="12">
                  <c:v>4.2076499999999996E-2</c:v>
                </c:pt>
                <c:pt idx="13">
                  <c:v>3.2643666666666661E-2</c:v>
                </c:pt>
              </c:numCache>
            </c:numRef>
          </c:val>
          <c:smooth val="0"/>
          <c:extLst xmlns:c16r2="http://schemas.microsoft.com/office/drawing/2015/06/chart">
            <c:ext xmlns:c16="http://schemas.microsoft.com/office/drawing/2014/chart" uri="{C3380CC4-5D6E-409C-BE32-E72D297353CC}">
              <c16:uniqueId val="{00000005-4488-47BD-8614-9F7402CE5B73}"/>
            </c:ext>
          </c:extLst>
        </c:ser>
        <c:ser>
          <c:idx val="6"/>
          <c:order val="6"/>
          <c:tx>
            <c:strRef>
              <c:f>'Figure 5'!$I$4</c:f>
              <c:strCache>
                <c:ptCount val="1"/>
                <c:pt idx="0">
                  <c:v>Fermanagh and Omagh</c:v>
                </c:pt>
              </c:strCache>
            </c:strRef>
          </c:tx>
          <c:spPr>
            <a:ln>
              <a:solidFill>
                <a:schemeClr val="accent5">
                  <a:lumMod val="60000"/>
                  <a:lumOff val="40000"/>
                </a:schemeClr>
              </a:solidFill>
            </a:ln>
          </c:spPr>
          <c:marker>
            <c:symbol val="none"/>
          </c:marker>
          <c:cat>
            <c:strRef>
              <c:f>'Figure 5'!$B$5:$B$18</c:f>
              <c:strCache>
                <c:ptCount val="14"/>
                <c:pt idx="0">
                  <c:v>2002-04</c:v>
                </c:pt>
                <c:pt idx="1">
                  <c:v>2003-05</c:v>
                </c:pt>
                <c:pt idx="2">
                  <c:v>2004-06</c:v>
                </c:pt>
                <c:pt idx="3">
                  <c:v>2005-07</c:v>
                </c:pt>
                <c:pt idx="4">
                  <c:v>2006-08</c:v>
                </c:pt>
                <c:pt idx="5">
                  <c:v>2007-09</c:v>
                </c:pt>
                <c:pt idx="6">
                  <c:v>2008-10</c:v>
                </c:pt>
                <c:pt idx="7">
                  <c:v>2009-11</c:v>
                </c:pt>
                <c:pt idx="8">
                  <c:v>2010-12</c:v>
                </c:pt>
                <c:pt idx="9">
                  <c:v>2011-13</c:v>
                </c:pt>
                <c:pt idx="10">
                  <c:v>2012-14</c:v>
                </c:pt>
                <c:pt idx="11">
                  <c:v>2013-15</c:v>
                </c:pt>
                <c:pt idx="12">
                  <c:v>2014-16</c:v>
                </c:pt>
                <c:pt idx="13">
                  <c:v>2015-17</c:v>
                </c:pt>
              </c:strCache>
            </c:strRef>
          </c:cat>
          <c:val>
            <c:numRef>
              <c:f>'Figure 5'!$I$5:$I$18</c:f>
              <c:numCache>
                <c:formatCode>0.0%</c:formatCode>
                <c:ptCount val="14"/>
                <c:pt idx="0">
                  <c:v>4.522573333333333E-2</c:v>
                </c:pt>
                <c:pt idx="1">
                  <c:v>6.0719200000000001E-2</c:v>
                </c:pt>
                <c:pt idx="2">
                  <c:v>5.7478866666666663E-2</c:v>
                </c:pt>
                <c:pt idx="3">
                  <c:v>5.4227899999999996E-2</c:v>
                </c:pt>
                <c:pt idx="4">
                  <c:v>4.8675633333333336E-2</c:v>
                </c:pt>
                <c:pt idx="5">
                  <c:v>5.6259666666666673E-2</c:v>
                </c:pt>
                <c:pt idx="6">
                  <c:v>4.9442000000000007E-2</c:v>
                </c:pt>
                <c:pt idx="7">
                  <c:v>6.897993333333334E-2</c:v>
                </c:pt>
                <c:pt idx="8">
                  <c:v>4.51241E-2</c:v>
                </c:pt>
                <c:pt idx="9">
                  <c:v>4.1322533333333335E-2</c:v>
                </c:pt>
                <c:pt idx="10">
                  <c:v>2.4232533333333334E-2</c:v>
                </c:pt>
                <c:pt idx="11">
                  <c:v>5.9272466666666669E-2</c:v>
                </c:pt>
                <c:pt idx="12">
                  <c:v>7.6059399999999999E-2</c:v>
                </c:pt>
                <c:pt idx="13">
                  <c:v>6.3670266666666656E-2</c:v>
                </c:pt>
              </c:numCache>
            </c:numRef>
          </c:val>
          <c:smooth val="0"/>
          <c:extLst xmlns:c16r2="http://schemas.microsoft.com/office/drawing/2015/06/chart">
            <c:ext xmlns:c16="http://schemas.microsoft.com/office/drawing/2014/chart" uri="{C3380CC4-5D6E-409C-BE32-E72D297353CC}">
              <c16:uniqueId val="{00000006-4488-47BD-8614-9F7402CE5B73}"/>
            </c:ext>
          </c:extLst>
        </c:ser>
        <c:ser>
          <c:idx val="7"/>
          <c:order val="7"/>
          <c:tx>
            <c:strRef>
              <c:f>'Figure 5'!$J$4</c:f>
              <c:strCache>
                <c:ptCount val="1"/>
                <c:pt idx="0">
                  <c:v>Lisburn and Castlereagh</c:v>
                </c:pt>
              </c:strCache>
            </c:strRef>
          </c:tx>
          <c:spPr>
            <a:ln>
              <a:solidFill>
                <a:schemeClr val="accent2">
                  <a:lumMod val="50000"/>
                </a:schemeClr>
              </a:solidFill>
            </a:ln>
          </c:spPr>
          <c:marker>
            <c:symbol val="none"/>
          </c:marker>
          <c:cat>
            <c:strRef>
              <c:f>'Figure 5'!$B$5:$B$18</c:f>
              <c:strCache>
                <c:ptCount val="14"/>
                <c:pt idx="0">
                  <c:v>2002-04</c:v>
                </c:pt>
                <c:pt idx="1">
                  <c:v>2003-05</c:v>
                </c:pt>
                <c:pt idx="2">
                  <c:v>2004-06</c:v>
                </c:pt>
                <c:pt idx="3">
                  <c:v>2005-07</c:v>
                </c:pt>
                <c:pt idx="4">
                  <c:v>2006-08</c:v>
                </c:pt>
                <c:pt idx="5">
                  <c:v>2007-09</c:v>
                </c:pt>
                <c:pt idx="6">
                  <c:v>2008-10</c:v>
                </c:pt>
                <c:pt idx="7">
                  <c:v>2009-11</c:v>
                </c:pt>
                <c:pt idx="8">
                  <c:v>2010-12</c:v>
                </c:pt>
                <c:pt idx="9">
                  <c:v>2011-13</c:v>
                </c:pt>
                <c:pt idx="10">
                  <c:v>2012-14</c:v>
                </c:pt>
                <c:pt idx="11">
                  <c:v>2013-15</c:v>
                </c:pt>
                <c:pt idx="12">
                  <c:v>2014-16</c:v>
                </c:pt>
                <c:pt idx="13">
                  <c:v>2015-17</c:v>
                </c:pt>
              </c:strCache>
            </c:strRef>
          </c:cat>
          <c:val>
            <c:numRef>
              <c:f>'Figure 5'!$J$5:$J$18</c:f>
              <c:numCache>
                <c:formatCode>0.0%</c:formatCode>
                <c:ptCount val="14"/>
                <c:pt idx="0">
                  <c:v>4.0546033333333335E-2</c:v>
                </c:pt>
                <c:pt idx="1">
                  <c:v>5.8262066666666668E-2</c:v>
                </c:pt>
                <c:pt idx="2">
                  <c:v>4.8296466666666669E-2</c:v>
                </c:pt>
                <c:pt idx="3">
                  <c:v>5.3697266666666667E-2</c:v>
                </c:pt>
                <c:pt idx="4">
                  <c:v>6.1215333333333337E-2</c:v>
                </c:pt>
                <c:pt idx="5">
                  <c:v>6.2579566666666656E-2</c:v>
                </c:pt>
                <c:pt idx="6">
                  <c:v>5.9898133333333332E-2</c:v>
                </c:pt>
                <c:pt idx="7">
                  <c:v>7.0139833333333332E-2</c:v>
                </c:pt>
                <c:pt idx="8">
                  <c:v>6.61056E-2</c:v>
                </c:pt>
                <c:pt idx="9">
                  <c:v>5.8000633333333336E-2</c:v>
                </c:pt>
                <c:pt idx="10">
                  <c:v>4.2472966666666667E-2</c:v>
                </c:pt>
                <c:pt idx="11">
                  <c:v>5.7578800000000006E-2</c:v>
                </c:pt>
                <c:pt idx="12">
                  <c:v>6.4396333333333333E-2</c:v>
                </c:pt>
                <c:pt idx="13">
                  <c:v>5.9693533333333333E-2</c:v>
                </c:pt>
              </c:numCache>
            </c:numRef>
          </c:val>
          <c:smooth val="0"/>
          <c:extLst xmlns:c16r2="http://schemas.microsoft.com/office/drawing/2015/06/chart">
            <c:ext xmlns:c16="http://schemas.microsoft.com/office/drawing/2014/chart" uri="{C3380CC4-5D6E-409C-BE32-E72D297353CC}">
              <c16:uniqueId val="{00000007-4488-47BD-8614-9F7402CE5B73}"/>
            </c:ext>
          </c:extLst>
        </c:ser>
        <c:ser>
          <c:idx val="8"/>
          <c:order val="8"/>
          <c:tx>
            <c:strRef>
              <c:f>'Figure 5'!$K$4</c:f>
              <c:strCache>
                <c:ptCount val="1"/>
                <c:pt idx="0">
                  <c:v>Mid Ulster</c:v>
                </c:pt>
              </c:strCache>
            </c:strRef>
          </c:tx>
          <c:spPr>
            <a:ln>
              <a:solidFill>
                <a:srgbClr val="00B050"/>
              </a:solidFill>
            </a:ln>
          </c:spPr>
          <c:marker>
            <c:symbol val="none"/>
          </c:marker>
          <c:cat>
            <c:strRef>
              <c:f>'Figure 5'!$B$5:$B$18</c:f>
              <c:strCache>
                <c:ptCount val="14"/>
                <c:pt idx="0">
                  <c:v>2002-04</c:v>
                </c:pt>
                <c:pt idx="1">
                  <c:v>2003-05</c:v>
                </c:pt>
                <c:pt idx="2">
                  <c:v>2004-06</c:v>
                </c:pt>
                <c:pt idx="3">
                  <c:v>2005-07</c:v>
                </c:pt>
                <c:pt idx="4">
                  <c:v>2006-08</c:v>
                </c:pt>
                <c:pt idx="5">
                  <c:v>2007-09</c:v>
                </c:pt>
                <c:pt idx="6">
                  <c:v>2008-10</c:v>
                </c:pt>
                <c:pt idx="7">
                  <c:v>2009-11</c:v>
                </c:pt>
                <c:pt idx="8">
                  <c:v>2010-12</c:v>
                </c:pt>
                <c:pt idx="9">
                  <c:v>2011-13</c:v>
                </c:pt>
                <c:pt idx="10">
                  <c:v>2012-14</c:v>
                </c:pt>
                <c:pt idx="11">
                  <c:v>2013-15</c:v>
                </c:pt>
                <c:pt idx="12">
                  <c:v>2014-16</c:v>
                </c:pt>
                <c:pt idx="13">
                  <c:v>2015-17</c:v>
                </c:pt>
              </c:strCache>
            </c:strRef>
          </c:cat>
          <c:val>
            <c:numRef>
              <c:f>'Figure 5'!$K$5:$K$18</c:f>
              <c:numCache>
                <c:formatCode>0.0%</c:formatCode>
                <c:ptCount val="14"/>
                <c:pt idx="0">
                  <c:v>5.6491233333333335E-2</c:v>
                </c:pt>
                <c:pt idx="1">
                  <c:v>6.5892466666666663E-2</c:v>
                </c:pt>
                <c:pt idx="2">
                  <c:v>6.5369666666666673E-2</c:v>
                </c:pt>
                <c:pt idx="3">
                  <c:v>4.5082000000000004E-2</c:v>
                </c:pt>
                <c:pt idx="4">
                  <c:v>4.3534666666666666E-2</c:v>
                </c:pt>
                <c:pt idx="5">
                  <c:v>4.6095233333333326E-2</c:v>
                </c:pt>
                <c:pt idx="6">
                  <c:v>6.753516666666666E-2</c:v>
                </c:pt>
                <c:pt idx="7">
                  <c:v>7.7704766666666661E-2</c:v>
                </c:pt>
                <c:pt idx="8">
                  <c:v>9.8050833333333351E-2</c:v>
                </c:pt>
                <c:pt idx="9">
                  <c:v>9.0867233333333339E-2</c:v>
                </c:pt>
                <c:pt idx="10">
                  <c:v>0.10619440000000001</c:v>
                </c:pt>
                <c:pt idx="11">
                  <c:v>9.6422400000000005E-2</c:v>
                </c:pt>
                <c:pt idx="12">
                  <c:v>9.0210033333333328E-2</c:v>
                </c:pt>
                <c:pt idx="13">
                  <c:v>9.2936166666666667E-2</c:v>
                </c:pt>
              </c:numCache>
            </c:numRef>
          </c:val>
          <c:smooth val="0"/>
          <c:extLst xmlns:c16r2="http://schemas.microsoft.com/office/drawing/2015/06/chart">
            <c:ext xmlns:c16="http://schemas.microsoft.com/office/drawing/2014/chart" uri="{C3380CC4-5D6E-409C-BE32-E72D297353CC}">
              <c16:uniqueId val="{00000008-4488-47BD-8614-9F7402CE5B73}"/>
            </c:ext>
          </c:extLst>
        </c:ser>
        <c:ser>
          <c:idx val="9"/>
          <c:order val="9"/>
          <c:tx>
            <c:strRef>
              <c:f>'Figure 5'!$L$4</c:f>
              <c:strCache>
                <c:ptCount val="1"/>
                <c:pt idx="0">
                  <c:v>Mid and East Antrim</c:v>
                </c:pt>
              </c:strCache>
            </c:strRef>
          </c:tx>
          <c:spPr>
            <a:ln>
              <a:solidFill>
                <a:schemeClr val="bg2">
                  <a:lumMod val="50000"/>
                </a:schemeClr>
              </a:solidFill>
            </a:ln>
          </c:spPr>
          <c:marker>
            <c:symbol val="none"/>
          </c:marker>
          <c:cat>
            <c:strRef>
              <c:f>'Figure 5'!$B$5:$B$18</c:f>
              <c:strCache>
                <c:ptCount val="14"/>
                <c:pt idx="0">
                  <c:v>2002-04</c:v>
                </c:pt>
                <c:pt idx="1">
                  <c:v>2003-05</c:v>
                </c:pt>
                <c:pt idx="2">
                  <c:v>2004-06</c:v>
                </c:pt>
                <c:pt idx="3">
                  <c:v>2005-07</c:v>
                </c:pt>
                <c:pt idx="4">
                  <c:v>2006-08</c:v>
                </c:pt>
                <c:pt idx="5">
                  <c:v>2007-09</c:v>
                </c:pt>
                <c:pt idx="6">
                  <c:v>2008-10</c:v>
                </c:pt>
                <c:pt idx="7">
                  <c:v>2009-11</c:v>
                </c:pt>
                <c:pt idx="8">
                  <c:v>2010-12</c:v>
                </c:pt>
                <c:pt idx="9">
                  <c:v>2011-13</c:v>
                </c:pt>
                <c:pt idx="10">
                  <c:v>2012-14</c:v>
                </c:pt>
                <c:pt idx="11">
                  <c:v>2013-15</c:v>
                </c:pt>
                <c:pt idx="12">
                  <c:v>2014-16</c:v>
                </c:pt>
                <c:pt idx="13">
                  <c:v>2015-17</c:v>
                </c:pt>
              </c:strCache>
            </c:strRef>
          </c:cat>
          <c:val>
            <c:numRef>
              <c:f>'Figure 5'!$L$5:$L$18</c:f>
              <c:numCache>
                <c:formatCode>0.0%</c:formatCode>
                <c:ptCount val="14"/>
                <c:pt idx="0">
                  <c:v>6.2511700000000003E-2</c:v>
                </c:pt>
                <c:pt idx="1">
                  <c:v>5.2321866666666661E-2</c:v>
                </c:pt>
                <c:pt idx="2">
                  <c:v>4.3483399999999998E-2</c:v>
                </c:pt>
                <c:pt idx="3">
                  <c:v>4.9090533333333332E-2</c:v>
                </c:pt>
                <c:pt idx="4">
                  <c:v>4.3856533333333336E-2</c:v>
                </c:pt>
                <c:pt idx="5">
                  <c:v>5.1314500000000006E-2</c:v>
                </c:pt>
                <c:pt idx="6">
                  <c:v>4.4703266666666665E-2</c:v>
                </c:pt>
                <c:pt idx="7">
                  <c:v>5.9226133333333326E-2</c:v>
                </c:pt>
                <c:pt idx="8">
                  <c:v>5.8447699999999991E-2</c:v>
                </c:pt>
                <c:pt idx="9">
                  <c:v>6.5728933333333336E-2</c:v>
                </c:pt>
                <c:pt idx="10">
                  <c:v>6.199113333333333E-2</c:v>
                </c:pt>
                <c:pt idx="11">
                  <c:v>7.9663433333333325E-2</c:v>
                </c:pt>
                <c:pt idx="12">
                  <c:v>8.6687E-2</c:v>
                </c:pt>
                <c:pt idx="13">
                  <c:v>0.10519386666666668</c:v>
                </c:pt>
              </c:numCache>
            </c:numRef>
          </c:val>
          <c:smooth val="0"/>
          <c:extLst xmlns:c16r2="http://schemas.microsoft.com/office/drawing/2015/06/chart">
            <c:ext xmlns:c16="http://schemas.microsoft.com/office/drawing/2014/chart" uri="{C3380CC4-5D6E-409C-BE32-E72D297353CC}">
              <c16:uniqueId val="{00000009-4488-47BD-8614-9F7402CE5B73}"/>
            </c:ext>
          </c:extLst>
        </c:ser>
        <c:ser>
          <c:idx val="10"/>
          <c:order val="10"/>
          <c:tx>
            <c:strRef>
              <c:f>'Figure 5'!$M$4</c:f>
              <c:strCache>
                <c:ptCount val="1"/>
                <c:pt idx="0">
                  <c:v>Newry, Mourne and Down</c:v>
                </c:pt>
              </c:strCache>
            </c:strRef>
          </c:tx>
          <c:spPr>
            <a:ln>
              <a:solidFill>
                <a:srgbClr val="7030A0"/>
              </a:solidFill>
            </a:ln>
          </c:spPr>
          <c:marker>
            <c:symbol val="none"/>
          </c:marker>
          <c:cat>
            <c:strRef>
              <c:f>'Figure 5'!$B$5:$B$18</c:f>
              <c:strCache>
                <c:ptCount val="14"/>
                <c:pt idx="0">
                  <c:v>2002-04</c:v>
                </c:pt>
                <c:pt idx="1">
                  <c:v>2003-05</c:v>
                </c:pt>
                <c:pt idx="2">
                  <c:v>2004-06</c:v>
                </c:pt>
                <c:pt idx="3">
                  <c:v>2005-07</c:v>
                </c:pt>
                <c:pt idx="4">
                  <c:v>2006-08</c:v>
                </c:pt>
                <c:pt idx="5">
                  <c:v>2007-09</c:v>
                </c:pt>
                <c:pt idx="6">
                  <c:v>2008-10</c:v>
                </c:pt>
                <c:pt idx="7">
                  <c:v>2009-11</c:v>
                </c:pt>
                <c:pt idx="8">
                  <c:v>2010-12</c:v>
                </c:pt>
                <c:pt idx="9">
                  <c:v>2011-13</c:v>
                </c:pt>
                <c:pt idx="10">
                  <c:v>2012-14</c:v>
                </c:pt>
                <c:pt idx="11">
                  <c:v>2013-15</c:v>
                </c:pt>
                <c:pt idx="12">
                  <c:v>2014-16</c:v>
                </c:pt>
                <c:pt idx="13">
                  <c:v>2015-17</c:v>
                </c:pt>
              </c:strCache>
            </c:strRef>
          </c:cat>
          <c:val>
            <c:numRef>
              <c:f>'Figure 5'!$M$5:$M$18</c:f>
              <c:numCache>
                <c:formatCode>0.0%</c:formatCode>
                <c:ptCount val="14"/>
                <c:pt idx="0">
                  <c:v>5.3704400000000006E-2</c:v>
                </c:pt>
                <c:pt idx="1">
                  <c:v>5.3716066666666666E-2</c:v>
                </c:pt>
                <c:pt idx="2">
                  <c:v>5.2111999999999992E-2</c:v>
                </c:pt>
                <c:pt idx="3">
                  <c:v>4.3840833333333336E-2</c:v>
                </c:pt>
                <c:pt idx="4">
                  <c:v>5.2640266666666657E-2</c:v>
                </c:pt>
                <c:pt idx="5">
                  <c:v>4.8581433333333333E-2</c:v>
                </c:pt>
                <c:pt idx="6">
                  <c:v>5.9543999999999993E-2</c:v>
                </c:pt>
                <c:pt idx="7">
                  <c:v>6.73488E-2</c:v>
                </c:pt>
                <c:pt idx="8">
                  <c:v>8.0640333333333328E-2</c:v>
                </c:pt>
                <c:pt idx="9">
                  <c:v>7.3416366666666663E-2</c:v>
                </c:pt>
                <c:pt idx="10">
                  <c:v>6.4659399999999992E-2</c:v>
                </c:pt>
                <c:pt idx="11">
                  <c:v>7.0759566666666662E-2</c:v>
                </c:pt>
                <c:pt idx="12">
                  <c:v>7.8749233333333335E-2</c:v>
                </c:pt>
                <c:pt idx="13">
                  <c:v>6.6627066666666665E-2</c:v>
                </c:pt>
              </c:numCache>
            </c:numRef>
          </c:val>
          <c:smooth val="0"/>
          <c:extLst xmlns:c16r2="http://schemas.microsoft.com/office/drawing/2015/06/chart">
            <c:ext xmlns:c16="http://schemas.microsoft.com/office/drawing/2014/chart" uri="{C3380CC4-5D6E-409C-BE32-E72D297353CC}">
              <c16:uniqueId val="{0000000A-4488-47BD-8614-9F7402CE5B73}"/>
            </c:ext>
          </c:extLst>
        </c:ser>
        <c:ser>
          <c:idx val="11"/>
          <c:order val="11"/>
          <c:tx>
            <c:strRef>
              <c:f>'Figure 5'!$N$4</c:f>
              <c:strCache>
                <c:ptCount val="1"/>
                <c:pt idx="0">
                  <c:v>NI</c:v>
                </c:pt>
              </c:strCache>
            </c:strRef>
          </c:tx>
          <c:spPr>
            <a:ln>
              <a:solidFill>
                <a:schemeClr val="tx1"/>
              </a:solidFill>
              <a:prstDash val="dash"/>
            </a:ln>
          </c:spPr>
          <c:marker>
            <c:symbol val="none"/>
          </c:marker>
          <c:cat>
            <c:strRef>
              <c:f>'Figure 5'!$B$5:$B$18</c:f>
              <c:strCache>
                <c:ptCount val="14"/>
                <c:pt idx="0">
                  <c:v>2002-04</c:v>
                </c:pt>
                <c:pt idx="1">
                  <c:v>2003-05</c:v>
                </c:pt>
                <c:pt idx="2">
                  <c:v>2004-06</c:v>
                </c:pt>
                <c:pt idx="3">
                  <c:v>2005-07</c:v>
                </c:pt>
                <c:pt idx="4">
                  <c:v>2006-08</c:v>
                </c:pt>
                <c:pt idx="5">
                  <c:v>2007-09</c:v>
                </c:pt>
                <c:pt idx="6">
                  <c:v>2008-10</c:v>
                </c:pt>
                <c:pt idx="7">
                  <c:v>2009-11</c:v>
                </c:pt>
                <c:pt idx="8">
                  <c:v>2010-12</c:v>
                </c:pt>
                <c:pt idx="9">
                  <c:v>2011-13</c:v>
                </c:pt>
                <c:pt idx="10">
                  <c:v>2012-14</c:v>
                </c:pt>
                <c:pt idx="11">
                  <c:v>2013-15</c:v>
                </c:pt>
                <c:pt idx="12">
                  <c:v>2014-16</c:v>
                </c:pt>
                <c:pt idx="13">
                  <c:v>2015-17</c:v>
                </c:pt>
              </c:strCache>
            </c:strRef>
          </c:cat>
          <c:val>
            <c:numRef>
              <c:f>'Figure 5'!$N$5:$N$18</c:f>
              <c:numCache>
                <c:formatCode>0.0%</c:formatCode>
                <c:ptCount val="14"/>
                <c:pt idx="0">
                  <c:v>4.7281133333333336E-2</c:v>
                </c:pt>
                <c:pt idx="1">
                  <c:v>5.1108700000000007E-2</c:v>
                </c:pt>
                <c:pt idx="2">
                  <c:v>4.5999399999999996E-2</c:v>
                </c:pt>
                <c:pt idx="3">
                  <c:v>4.464813333333334E-2</c:v>
                </c:pt>
                <c:pt idx="4">
                  <c:v>4.4646066666666671E-2</c:v>
                </c:pt>
                <c:pt idx="5">
                  <c:v>4.96628E-2</c:v>
                </c:pt>
                <c:pt idx="6">
                  <c:v>5.4873433333333332E-2</c:v>
                </c:pt>
                <c:pt idx="7">
                  <c:v>6.2505099999999994E-2</c:v>
                </c:pt>
                <c:pt idx="8">
                  <c:v>6.900089999999999E-2</c:v>
                </c:pt>
                <c:pt idx="9">
                  <c:v>6.4664600000000003E-2</c:v>
                </c:pt>
                <c:pt idx="10">
                  <c:v>6.3415399999999997E-2</c:v>
                </c:pt>
                <c:pt idx="11">
                  <c:v>5.7578199999999996E-2</c:v>
                </c:pt>
                <c:pt idx="12">
                  <c:v>6.1516666666666664E-2</c:v>
                </c:pt>
                <c:pt idx="13">
                  <c:v>6.0587000000000002E-2</c:v>
                </c:pt>
              </c:numCache>
            </c:numRef>
          </c:val>
          <c:smooth val="0"/>
          <c:extLst xmlns:c16r2="http://schemas.microsoft.com/office/drawing/2015/06/chart">
            <c:ext xmlns:c16="http://schemas.microsoft.com/office/drawing/2014/chart" uri="{C3380CC4-5D6E-409C-BE32-E72D297353CC}">
              <c16:uniqueId val="{0000000B-4488-47BD-8614-9F7402CE5B73}"/>
            </c:ext>
          </c:extLst>
        </c:ser>
        <c:dLbls>
          <c:showLegendKey val="0"/>
          <c:showVal val="0"/>
          <c:showCatName val="0"/>
          <c:showSerName val="0"/>
          <c:showPercent val="0"/>
          <c:showBubbleSize val="0"/>
        </c:dLbls>
        <c:smooth val="0"/>
        <c:axId val="297326864"/>
        <c:axId val="293536320"/>
      </c:lineChart>
      <c:catAx>
        <c:axId val="297326864"/>
        <c:scaling>
          <c:orientation val="minMax"/>
        </c:scaling>
        <c:delete val="0"/>
        <c:axPos val="b"/>
        <c:numFmt formatCode="General" sourceLinked="0"/>
        <c:majorTickMark val="out"/>
        <c:minorTickMark val="none"/>
        <c:tickLblPos val="nextTo"/>
        <c:crossAx val="293536320"/>
        <c:crosses val="autoZero"/>
        <c:auto val="1"/>
        <c:lblAlgn val="ctr"/>
        <c:lblOffset val="100"/>
        <c:noMultiLvlLbl val="0"/>
      </c:catAx>
      <c:valAx>
        <c:axId val="293536320"/>
        <c:scaling>
          <c:orientation val="minMax"/>
        </c:scaling>
        <c:delete val="0"/>
        <c:axPos val="l"/>
        <c:majorGridlines/>
        <c:title>
          <c:tx>
            <c:rich>
              <a:bodyPr rot="-5400000" vert="horz"/>
              <a:lstStyle/>
              <a:p>
                <a:pPr>
                  <a:defRPr/>
                </a:pPr>
                <a:r>
                  <a:rPr lang="en-US"/>
                  <a:t>% of Adult Population aged 18-64 years</a:t>
                </a:r>
              </a:p>
            </c:rich>
          </c:tx>
          <c:overlay val="0"/>
        </c:title>
        <c:numFmt formatCode="0%" sourceLinked="0"/>
        <c:majorTickMark val="out"/>
        <c:minorTickMark val="none"/>
        <c:tickLblPos val="nextTo"/>
        <c:crossAx val="297326864"/>
        <c:crossesAt val="1"/>
        <c:crossBetween val="between"/>
      </c:valAx>
    </c:plotArea>
    <c:legend>
      <c:legendPos val="t"/>
      <c:overlay val="0"/>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Journalista</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Tout</dc:creator>
  <cp:keywords/>
  <dc:description/>
  <cp:lastModifiedBy>Ferris, Wendy</cp:lastModifiedBy>
  <cp:revision>2</cp:revision>
  <cp:lastPrinted>2015-05-12T11:27:00Z</cp:lastPrinted>
  <dcterms:created xsi:type="dcterms:W3CDTF">2018-11-09T15:30:00Z</dcterms:created>
  <dcterms:modified xsi:type="dcterms:W3CDTF">2018-11-09T15:30:00Z</dcterms:modified>
</cp:coreProperties>
</file>