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E2431" w14:textId="770F4877" w:rsidR="004B3B12" w:rsidRPr="007F0595" w:rsidRDefault="004B3B12">
      <w:pPr>
        <w:rPr>
          <w:rFonts w:asciiTheme="minorHAnsi" w:hAnsiTheme="minorHAnsi" w:cstheme="minorHAnsi"/>
        </w:rPr>
      </w:pPr>
    </w:p>
    <w:tbl>
      <w:tblPr>
        <w:tblStyle w:val="TableGrid"/>
        <w:tblW w:w="10206"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2551"/>
      </w:tblGrid>
      <w:tr w:rsidR="00080E9D" w:rsidRPr="007F0595" w14:paraId="2AA22EAE" w14:textId="77777777" w:rsidTr="00EF5E55">
        <w:tc>
          <w:tcPr>
            <w:tcW w:w="7655" w:type="dxa"/>
            <w:shd w:val="clear" w:color="auto" w:fill="auto"/>
            <w:vAlign w:val="center"/>
          </w:tcPr>
          <w:p w14:paraId="0A8F43BF" w14:textId="77777777" w:rsidR="00080E9D" w:rsidRPr="006261DC" w:rsidRDefault="00080E9D" w:rsidP="00080E9D">
            <w:pPr>
              <w:jc w:val="center"/>
              <w:rPr>
                <w:rFonts w:ascii="Arial" w:hAnsi="Arial" w:cs="Arial"/>
                <w:b/>
                <w:sz w:val="32"/>
                <w:szCs w:val="32"/>
              </w:rPr>
            </w:pPr>
            <w:r w:rsidRPr="006261DC">
              <w:rPr>
                <w:rFonts w:ascii="Arial" w:hAnsi="Arial" w:cs="Arial"/>
                <w:b/>
                <w:sz w:val="32"/>
                <w:szCs w:val="32"/>
              </w:rPr>
              <w:t>Policy Briefing</w:t>
            </w:r>
            <w:r w:rsidR="00227B0A" w:rsidRPr="006261DC">
              <w:rPr>
                <w:rFonts w:ascii="Arial" w:hAnsi="Arial" w:cs="Arial"/>
                <w:b/>
                <w:sz w:val="32"/>
                <w:szCs w:val="32"/>
              </w:rPr>
              <w:t xml:space="preserve"> </w:t>
            </w:r>
            <w:r w:rsidRPr="006261DC">
              <w:rPr>
                <w:rFonts w:ascii="Arial" w:hAnsi="Arial" w:cs="Arial"/>
                <w:b/>
                <w:sz w:val="32"/>
                <w:szCs w:val="32"/>
              </w:rPr>
              <w:t xml:space="preserve"> </w:t>
            </w:r>
          </w:p>
        </w:tc>
        <w:tc>
          <w:tcPr>
            <w:tcW w:w="2551" w:type="dxa"/>
            <w:vAlign w:val="center"/>
          </w:tcPr>
          <w:p w14:paraId="3526C00B" w14:textId="77777777" w:rsidR="00080E9D" w:rsidRPr="007F0595" w:rsidRDefault="00080E9D" w:rsidP="00080E9D">
            <w:pPr>
              <w:jc w:val="right"/>
              <w:rPr>
                <w:rFonts w:asciiTheme="minorHAnsi" w:hAnsiTheme="minorHAnsi" w:cstheme="minorHAnsi"/>
              </w:rPr>
            </w:pPr>
            <w:r w:rsidRPr="007F0595">
              <w:rPr>
                <w:rFonts w:asciiTheme="minorHAnsi" w:hAnsiTheme="minorHAnsi" w:cstheme="minorHAnsi"/>
                <w:noProof/>
                <w:lang w:val="en-IE" w:eastAsia="ja-JP"/>
              </w:rPr>
              <w:drawing>
                <wp:inline distT="0" distB="0" distL="0" distR="0" wp14:anchorId="37A9230E" wp14:editId="6EB293AB">
                  <wp:extent cx="1600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inline>
              </w:drawing>
            </w:r>
          </w:p>
        </w:tc>
      </w:tr>
      <w:tr w:rsidR="00751E09" w:rsidRPr="007F0595" w14:paraId="443D64F4" w14:textId="77777777" w:rsidTr="00EF5E55">
        <w:tc>
          <w:tcPr>
            <w:tcW w:w="7655" w:type="dxa"/>
            <w:shd w:val="clear" w:color="auto" w:fill="FFFFFF" w:themeFill="background1"/>
            <w:vAlign w:val="center"/>
          </w:tcPr>
          <w:p w14:paraId="554190C0" w14:textId="23253810" w:rsidR="005141F3" w:rsidRDefault="005141F3" w:rsidP="005141F3">
            <w:pPr>
              <w:spacing w:before="120" w:after="120"/>
              <w:jc w:val="center"/>
              <w:rPr>
                <w:rFonts w:ascii="Arial" w:hAnsi="Arial" w:cs="Arial"/>
                <w:b/>
                <w:sz w:val="36"/>
                <w:szCs w:val="36"/>
              </w:rPr>
            </w:pPr>
            <w:r w:rsidRPr="005141F3">
              <w:rPr>
                <w:rFonts w:ascii="Arial" w:hAnsi="Arial" w:cs="Arial"/>
                <w:b/>
                <w:sz w:val="36"/>
                <w:szCs w:val="36"/>
              </w:rPr>
              <w:t xml:space="preserve">One size does not fit all: A cross-country comparison of policy instruments used to support firm-level innovation and science </w:t>
            </w:r>
          </w:p>
          <w:p w14:paraId="678BFF79" w14:textId="7011A15A" w:rsidR="00207606" w:rsidRDefault="00207606" w:rsidP="00156A86">
            <w:pPr>
              <w:spacing w:before="120" w:after="120"/>
              <w:jc w:val="center"/>
              <w:rPr>
                <w:rFonts w:ascii="Arial" w:hAnsi="Arial" w:cs="Arial"/>
                <w:b/>
                <w:iCs/>
              </w:rPr>
            </w:pPr>
            <w:r>
              <w:rPr>
                <w:rFonts w:ascii="Arial" w:hAnsi="Arial" w:cs="Arial"/>
                <w:b/>
                <w:iCs/>
              </w:rPr>
              <w:t xml:space="preserve">Link to </w:t>
            </w:r>
            <w:r w:rsidR="00597895">
              <w:rPr>
                <w:rFonts w:ascii="Arial" w:hAnsi="Arial" w:cs="Arial"/>
                <w:b/>
                <w:iCs/>
              </w:rPr>
              <w:t xml:space="preserve">full </w:t>
            </w:r>
            <w:r w:rsidRPr="0089013D">
              <w:rPr>
                <w:rFonts w:ascii="Arial" w:hAnsi="Arial" w:cs="Arial"/>
                <w:b/>
                <w:iCs/>
              </w:rPr>
              <w:t xml:space="preserve">report: </w:t>
            </w:r>
            <w:hyperlink r:id="rId8" w:tooltip="http://hdl.handle.net/10344/9543" w:history="1">
              <w:r w:rsidRPr="0089013D">
                <w:rPr>
                  <w:rFonts w:ascii="Arial" w:eastAsia="Times New Roman" w:hAnsi="Arial" w:cs="Arial"/>
                  <w:color w:val="0000FF"/>
                  <w:u w:val="single"/>
                  <w:lang w:val="en-IE" w:eastAsia="en-GB"/>
                </w:rPr>
                <w:t>http://hdl.h</w:t>
              </w:r>
              <w:r w:rsidRPr="0089013D">
                <w:rPr>
                  <w:rFonts w:ascii="Arial" w:eastAsia="Times New Roman" w:hAnsi="Arial" w:cs="Arial"/>
                  <w:color w:val="0000FF"/>
                  <w:u w:val="single"/>
                  <w:lang w:val="en-IE" w:eastAsia="en-GB"/>
                </w:rPr>
                <w:t>a</w:t>
              </w:r>
              <w:r w:rsidRPr="0089013D">
                <w:rPr>
                  <w:rFonts w:ascii="Arial" w:eastAsia="Times New Roman" w:hAnsi="Arial" w:cs="Arial"/>
                  <w:color w:val="0000FF"/>
                  <w:u w:val="single"/>
                  <w:lang w:val="en-IE" w:eastAsia="en-GB"/>
                </w:rPr>
                <w:t>ndle.net/10344/9543</w:t>
              </w:r>
            </w:hyperlink>
            <w:r w:rsidRPr="0089013D">
              <w:rPr>
                <w:rFonts w:ascii="Arial" w:hAnsi="Arial" w:cs="Arial"/>
                <w:b/>
                <w:iCs/>
              </w:rPr>
              <w:t xml:space="preserve">     </w:t>
            </w:r>
          </w:p>
          <w:p w14:paraId="40ED24EC" w14:textId="1658CBB8" w:rsidR="007D371D" w:rsidRPr="006261DC" w:rsidRDefault="005141F3" w:rsidP="00156A86">
            <w:pPr>
              <w:spacing w:before="120" w:after="120"/>
              <w:jc w:val="center"/>
              <w:rPr>
                <w:rFonts w:ascii="Arial" w:hAnsi="Arial" w:cs="Arial"/>
                <w:b/>
                <w:sz w:val="28"/>
                <w:szCs w:val="28"/>
              </w:rPr>
            </w:pPr>
            <w:r>
              <w:rPr>
                <w:rFonts w:ascii="Arial" w:hAnsi="Arial" w:cs="Arial"/>
                <w:b/>
              </w:rPr>
              <w:t>January 2021</w:t>
            </w:r>
          </w:p>
          <w:p w14:paraId="5B47DDB7" w14:textId="77777777" w:rsidR="005930F7" w:rsidRDefault="005930F7" w:rsidP="000B3B8F">
            <w:pPr>
              <w:jc w:val="both"/>
              <w:rPr>
                <w:rFonts w:ascii="Arial" w:hAnsi="Arial" w:cs="Arial"/>
                <w:b/>
                <w:sz w:val="22"/>
                <w:szCs w:val="22"/>
              </w:rPr>
            </w:pPr>
          </w:p>
          <w:p w14:paraId="4F313B2B" w14:textId="4990B940" w:rsidR="005930F7" w:rsidRPr="0089013D" w:rsidRDefault="00207606" w:rsidP="000B3B8F">
            <w:pPr>
              <w:jc w:val="both"/>
              <w:rPr>
                <w:rFonts w:ascii="Arial" w:hAnsi="Arial" w:cs="Arial"/>
                <w:b/>
                <w:sz w:val="20"/>
                <w:szCs w:val="20"/>
              </w:rPr>
            </w:pPr>
            <w:r>
              <w:rPr>
                <w:rFonts w:ascii="Arial" w:hAnsi="Arial" w:cs="Arial"/>
                <w:b/>
                <w:bCs/>
                <w:sz w:val="20"/>
                <w:szCs w:val="20"/>
              </w:rPr>
              <w:t>C</w:t>
            </w:r>
            <w:r w:rsidR="005141F3" w:rsidRPr="0089013D">
              <w:rPr>
                <w:rFonts w:ascii="Arial" w:hAnsi="Arial" w:cs="Arial"/>
                <w:b/>
                <w:bCs/>
                <w:sz w:val="20"/>
                <w:szCs w:val="20"/>
              </w:rPr>
              <w:t>ross-country</w:t>
            </w:r>
            <w:r>
              <w:rPr>
                <w:rFonts w:ascii="Arial" w:hAnsi="Arial" w:cs="Arial"/>
                <w:b/>
                <w:bCs/>
                <w:sz w:val="20"/>
                <w:szCs w:val="20"/>
              </w:rPr>
              <w:t>,</w:t>
            </w:r>
            <w:r w:rsidR="005141F3" w:rsidRPr="0089013D">
              <w:rPr>
                <w:rFonts w:ascii="Arial" w:hAnsi="Arial" w:cs="Arial"/>
                <w:b/>
                <w:bCs/>
                <w:sz w:val="20"/>
                <w:szCs w:val="20"/>
              </w:rPr>
              <w:t xml:space="preserve"> comparative analysis provides a powerful tool for policy evaluation, whilst also offering much potential for policy learning and improvement. In</w:t>
            </w:r>
            <w:r>
              <w:rPr>
                <w:rFonts w:ascii="Arial" w:hAnsi="Arial" w:cs="Arial"/>
                <w:b/>
                <w:bCs/>
                <w:sz w:val="20"/>
                <w:szCs w:val="20"/>
              </w:rPr>
              <w:t xml:space="preserve"> this </w:t>
            </w:r>
            <w:r w:rsidR="005141F3" w:rsidRPr="0089013D">
              <w:rPr>
                <w:rFonts w:ascii="Arial" w:hAnsi="Arial" w:cs="Arial"/>
                <w:b/>
                <w:bCs/>
                <w:sz w:val="20"/>
                <w:szCs w:val="20"/>
              </w:rPr>
              <w:t xml:space="preserve">report we present </w:t>
            </w:r>
            <w:r>
              <w:rPr>
                <w:rFonts w:ascii="Arial" w:hAnsi="Arial" w:cs="Arial"/>
                <w:b/>
                <w:bCs/>
                <w:sz w:val="20"/>
                <w:szCs w:val="20"/>
              </w:rPr>
              <w:t xml:space="preserve">an </w:t>
            </w:r>
            <w:r w:rsidR="005141F3" w:rsidRPr="0089013D">
              <w:rPr>
                <w:rFonts w:ascii="Arial" w:hAnsi="Arial" w:cs="Arial"/>
                <w:b/>
                <w:bCs/>
                <w:sz w:val="20"/>
                <w:szCs w:val="20"/>
              </w:rPr>
              <w:t xml:space="preserve">analysis of innovation and science policy instruments available to firms </w:t>
            </w:r>
            <w:r>
              <w:rPr>
                <w:rFonts w:ascii="Arial" w:hAnsi="Arial" w:cs="Arial"/>
                <w:b/>
                <w:bCs/>
                <w:sz w:val="20"/>
                <w:szCs w:val="20"/>
              </w:rPr>
              <w:t>in</w:t>
            </w:r>
            <w:r w:rsidR="005141F3" w:rsidRPr="0089013D">
              <w:rPr>
                <w:rFonts w:ascii="Arial" w:hAnsi="Arial" w:cs="Arial"/>
                <w:b/>
                <w:bCs/>
                <w:sz w:val="20"/>
                <w:szCs w:val="20"/>
              </w:rPr>
              <w:t xml:space="preserve"> eight countries: Ireland, Germany, the United Kingdom (UK), Belgium, Denmark, Israel, Singapore, and Norway. These countries are all highly active in providing support for firm-level </w:t>
            </w:r>
            <w:r w:rsidR="005F5A60">
              <w:rPr>
                <w:rFonts w:ascii="Arial" w:hAnsi="Arial" w:cs="Arial"/>
                <w:b/>
                <w:bCs/>
                <w:sz w:val="20"/>
                <w:szCs w:val="20"/>
              </w:rPr>
              <w:t>innovation</w:t>
            </w:r>
            <w:r>
              <w:rPr>
                <w:rFonts w:ascii="Arial" w:hAnsi="Arial" w:cs="Arial"/>
                <w:b/>
                <w:bCs/>
                <w:sz w:val="20"/>
                <w:szCs w:val="20"/>
              </w:rPr>
              <w:t xml:space="preserve"> and </w:t>
            </w:r>
            <w:r w:rsidR="005F5A60">
              <w:rPr>
                <w:rFonts w:ascii="Arial" w:hAnsi="Arial" w:cs="Arial"/>
                <w:b/>
                <w:bCs/>
                <w:sz w:val="20"/>
                <w:szCs w:val="20"/>
              </w:rPr>
              <w:t>science</w:t>
            </w:r>
            <w:r w:rsidR="005141F3" w:rsidRPr="0089013D">
              <w:rPr>
                <w:rFonts w:ascii="Arial" w:hAnsi="Arial" w:cs="Arial"/>
                <w:b/>
                <w:bCs/>
                <w:sz w:val="20"/>
                <w:szCs w:val="20"/>
              </w:rPr>
              <w:t>, between them allocating in the region of €17 billion in 2017 alone, through a wide variety of policy instruments targeted at firms. Our report is unique in terms of the level of detail provided. Such detail enables a better understanding of the mechanisms through which policy instruments impact firms' innovation and science outcomes.</w:t>
            </w:r>
          </w:p>
          <w:p w14:paraId="00D64548" w14:textId="376335D9" w:rsidR="000B3B8F" w:rsidRPr="000F7D3F" w:rsidRDefault="000B3B8F" w:rsidP="000B3B8F">
            <w:pPr>
              <w:jc w:val="both"/>
              <w:rPr>
                <w:rFonts w:asciiTheme="minorHAnsi" w:hAnsiTheme="minorHAnsi" w:cstheme="minorHAnsi"/>
              </w:rPr>
            </w:pPr>
          </w:p>
        </w:tc>
        <w:tc>
          <w:tcPr>
            <w:tcW w:w="2551" w:type="dxa"/>
            <w:vMerge w:val="restart"/>
            <w:shd w:val="clear" w:color="auto" w:fill="FF6600"/>
            <w:vAlign w:val="center"/>
          </w:tcPr>
          <w:p w14:paraId="5B943E80" w14:textId="06098266" w:rsidR="00C90296" w:rsidRDefault="0089013D" w:rsidP="006261DC">
            <w:pPr>
              <w:jc w:val="center"/>
              <w:rPr>
                <w:rFonts w:asciiTheme="minorHAnsi" w:hAnsiTheme="minorHAnsi" w:cstheme="minorHAnsi"/>
                <w:b/>
                <w:noProof/>
                <w:sz w:val="22"/>
                <w:szCs w:val="22"/>
              </w:rPr>
            </w:pPr>
            <w:r>
              <w:rPr>
                <w:noProof/>
                <w:lang w:val="en-IE" w:eastAsia="ja-JP"/>
              </w:rPr>
              <w:drawing>
                <wp:anchor distT="0" distB="0" distL="114300" distR="114300" simplePos="0" relativeHeight="251658240" behindDoc="0" locked="0" layoutInCell="1" allowOverlap="1" wp14:anchorId="5615B794" wp14:editId="2BC8DDE2">
                  <wp:simplePos x="0" y="0"/>
                  <wp:positionH relativeFrom="column">
                    <wp:posOffset>26670</wp:posOffset>
                  </wp:positionH>
                  <wp:positionV relativeFrom="paragraph">
                    <wp:posOffset>-1097280</wp:posOffset>
                  </wp:positionV>
                  <wp:extent cx="1414780" cy="421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_kbs_new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4780" cy="421640"/>
                          </a:xfrm>
                          <a:prstGeom prst="rect">
                            <a:avLst/>
                          </a:prstGeom>
                        </pic:spPr>
                      </pic:pic>
                    </a:graphicData>
                  </a:graphic>
                  <wp14:sizeRelH relativeFrom="page">
                    <wp14:pctWidth>0</wp14:pctWidth>
                  </wp14:sizeRelH>
                  <wp14:sizeRelV relativeFrom="page">
                    <wp14:pctHeight>0</wp14:pctHeight>
                  </wp14:sizeRelV>
                </wp:anchor>
              </w:drawing>
            </w:r>
          </w:p>
          <w:p w14:paraId="57F57619" w14:textId="4ADFC807" w:rsidR="00751E09" w:rsidRDefault="00751E09" w:rsidP="006261DC">
            <w:pPr>
              <w:jc w:val="center"/>
              <w:rPr>
                <w:rFonts w:asciiTheme="minorHAnsi" w:hAnsiTheme="minorHAnsi" w:cstheme="minorHAnsi"/>
                <w:b/>
                <w:noProof/>
                <w:sz w:val="22"/>
                <w:szCs w:val="22"/>
              </w:rPr>
            </w:pPr>
            <w:r w:rsidRPr="000F7D3F">
              <w:rPr>
                <w:rFonts w:asciiTheme="minorHAnsi" w:hAnsiTheme="minorHAnsi" w:cstheme="minorHAnsi"/>
                <w:b/>
                <w:noProof/>
                <w:sz w:val="22"/>
                <w:szCs w:val="22"/>
              </w:rPr>
              <w:t>Authors</w:t>
            </w:r>
          </w:p>
          <w:p w14:paraId="29F88910" w14:textId="59B84F0C" w:rsidR="003E32CC" w:rsidRDefault="003E32CC" w:rsidP="00C90296">
            <w:pPr>
              <w:rPr>
                <w:rFonts w:asciiTheme="minorHAnsi" w:hAnsiTheme="minorHAnsi" w:cstheme="minorHAnsi"/>
                <w:b/>
                <w:noProof/>
                <w:sz w:val="22"/>
                <w:szCs w:val="22"/>
              </w:rPr>
            </w:pPr>
          </w:p>
          <w:p w14:paraId="50AFD6D9" w14:textId="1884538C" w:rsidR="000B3B8F" w:rsidRPr="000F7D3F" w:rsidRDefault="005141F3" w:rsidP="001F580A">
            <w:pPr>
              <w:ind w:right="-113"/>
              <w:jc w:val="center"/>
              <w:rPr>
                <w:rFonts w:asciiTheme="minorHAnsi" w:hAnsiTheme="minorHAnsi" w:cstheme="minorHAnsi"/>
                <w:sz w:val="20"/>
                <w:szCs w:val="20"/>
              </w:rPr>
            </w:pPr>
            <w:r>
              <w:rPr>
                <w:rFonts w:ascii="Arial" w:hAnsi="Arial" w:cs="Arial"/>
                <w:noProof/>
                <w:lang w:val="en-IE" w:eastAsia="ja-JP"/>
              </w:rPr>
              <w:drawing>
                <wp:inline distT="0" distB="0" distL="0" distR="0" wp14:anchorId="1A8B5B44" wp14:editId="6F390409">
                  <wp:extent cx="1251585" cy="1343660"/>
                  <wp:effectExtent l="0" t="0" r="571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elena Lenihan UL 022 copy_head_crop[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1585" cy="1343660"/>
                          </a:xfrm>
                          <a:prstGeom prst="rect">
                            <a:avLst/>
                          </a:prstGeom>
                        </pic:spPr>
                      </pic:pic>
                    </a:graphicData>
                  </a:graphic>
                </wp:inline>
              </w:drawing>
            </w:r>
          </w:p>
          <w:p w14:paraId="265391C4" w14:textId="4BF1AB03" w:rsidR="001F580A" w:rsidRPr="0089013D" w:rsidRDefault="005141F3" w:rsidP="00E102B7">
            <w:pPr>
              <w:ind w:right="-113"/>
              <w:jc w:val="center"/>
              <w:rPr>
                <w:rStyle w:val="Hyperlink"/>
                <w:rFonts w:ascii="Arial" w:hAnsi="Arial" w:cs="Arial"/>
                <w:color w:val="auto"/>
                <w:sz w:val="18"/>
                <w:szCs w:val="18"/>
              </w:rPr>
            </w:pPr>
            <w:r w:rsidRPr="0089013D">
              <w:rPr>
                <w:rFonts w:ascii="Arial" w:hAnsi="Arial" w:cs="Arial"/>
                <w:b/>
                <w:sz w:val="18"/>
                <w:szCs w:val="18"/>
                <w:lang w:val="en-IE"/>
              </w:rPr>
              <w:t xml:space="preserve">Helena </w:t>
            </w:r>
            <w:proofErr w:type="spellStart"/>
            <w:r w:rsidRPr="0089013D">
              <w:rPr>
                <w:rFonts w:ascii="Arial" w:hAnsi="Arial" w:cs="Arial"/>
                <w:b/>
                <w:sz w:val="18"/>
                <w:szCs w:val="18"/>
                <w:lang w:val="en-IE"/>
              </w:rPr>
              <w:t>Lenihan</w:t>
            </w:r>
            <w:proofErr w:type="spellEnd"/>
            <w:r w:rsidRPr="0089013D">
              <w:rPr>
                <w:rFonts w:ascii="Arial" w:hAnsi="Arial" w:cs="Arial"/>
                <w:b/>
                <w:sz w:val="18"/>
                <w:szCs w:val="18"/>
                <w:lang w:val="en-IE"/>
              </w:rPr>
              <w:t xml:space="preserve"> </w:t>
            </w:r>
            <w:hyperlink r:id="rId11" w:history="1">
              <w:r w:rsidRPr="0089013D">
                <w:rPr>
                  <w:rStyle w:val="Hyperlink"/>
                  <w:rFonts w:ascii="Arial" w:hAnsi="Arial" w:cs="Arial"/>
                  <w:b/>
                  <w:sz w:val="18"/>
                  <w:szCs w:val="18"/>
                  <w:lang w:val="en-IE"/>
                </w:rPr>
                <w:t>Helena.Lenihan@ul.ie</w:t>
              </w:r>
            </w:hyperlink>
          </w:p>
          <w:p w14:paraId="0FC0C078" w14:textId="4DB3A020" w:rsidR="001F580A" w:rsidRDefault="001F580A" w:rsidP="00C90296">
            <w:pPr>
              <w:rPr>
                <w:rStyle w:val="Hyperlink"/>
                <w:rFonts w:asciiTheme="minorHAnsi" w:hAnsiTheme="minorHAnsi" w:cstheme="minorHAnsi"/>
                <w:sz w:val="20"/>
                <w:szCs w:val="20"/>
              </w:rPr>
            </w:pPr>
          </w:p>
          <w:p w14:paraId="3876A8F5" w14:textId="70A46613" w:rsidR="000F7D3F" w:rsidRDefault="000F7D3F" w:rsidP="000F7D3F">
            <w:pPr>
              <w:jc w:val="center"/>
              <w:rPr>
                <w:rFonts w:asciiTheme="minorHAnsi" w:hAnsiTheme="minorHAnsi" w:cstheme="minorHAnsi"/>
                <w:b/>
                <w:noProof/>
                <w:sz w:val="20"/>
                <w:szCs w:val="20"/>
              </w:rPr>
            </w:pPr>
          </w:p>
          <w:p w14:paraId="6DECE6BA" w14:textId="77777777" w:rsidR="001F580A" w:rsidRPr="000F7D3F" w:rsidRDefault="001F580A" w:rsidP="000F7D3F">
            <w:pPr>
              <w:jc w:val="center"/>
              <w:rPr>
                <w:rFonts w:asciiTheme="minorHAnsi" w:hAnsiTheme="minorHAnsi" w:cstheme="minorHAnsi"/>
                <w:b/>
                <w:noProof/>
                <w:sz w:val="20"/>
                <w:szCs w:val="20"/>
              </w:rPr>
            </w:pPr>
          </w:p>
          <w:p w14:paraId="3B3C971F" w14:textId="2F37BB89" w:rsidR="000F7D3F" w:rsidRPr="000F7D3F" w:rsidRDefault="0089013D" w:rsidP="00E102B7">
            <w:pPr>
              <w:jc w:val="center"/>
              <w:rPr>
                <w:rFonts w:asciiTheme="minorHAnsi" w:hAnsiTheme="minorHAnsi" w:cstheme="minorHAnsi"/>
                <w:sz w:val="20"/>
                <w:szCs w:val="20"/>
                <w:lang w:val="en-US"/>
              </w:rPr>
            </w:pPr>
            <w:r>
              <w:rPr>
                <w:rFonts w:ascii="Arial" w:hAnsi="Arial" w:cs="Arial"/>
                <w:noProof/>
                <w:lang w:val="en-IE" w:eastAsia="ja-JP"/>
              </w:rPr>
              <w:drawing>
                <wp:inline distT="0" distB="0" distL="0" distR="0" wp14:anchorId="08223FAE" wp14:editId="24F19F93">
                  <wp:extent cx="1251585" cy="130111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evinMulligan_headsho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1585" cy="1301115"/>
                          </a:xfrm>
                          <a:prstGeom prst="rect">
                            <a:avLst/>
                          </a:prstGeom>
                        </pic:spPr>
                      </pic:pic>
                    </a:graphicData>
                  </a:graphic>
                </wp:inline>
              </w:drawing>
            </w:r>
          </w:p>
          <w:p w14:paraId="2F1D5E1A" w14:textId="51D11424" w:rsidR="00E102B7" w:rsidRPr="0089013D" w:rsidRDefault="005141F3" w:rsidP="005141F3">
            <w:pPr>
              <w:ind w:right="-113"/>
              <w:jc w:val="center"/>
              <w:rPr>
                <w:rFonts w:ascii="Arial" w:hAnsi="Arial" w:cs="Arial"/>
                <w:sz w:val="18"/>
                <w:szCs w:val="18"/>
              </w:rPr>
            </w:pPr>
            <w:r w:rsidRPr="0089013D">
              <w:rPr>
                <w:rFonts w:ascii="Arial" w:hAnsi="Arial" w:cs="Arial"/>
                <w:b/>
                <w:sz w:val="18"/>
                <w:szCs w:val="18"/>
                <w:lang w:val="en-IE"/>
              </w:rPr>
              <w:t>Kevin Mulligan</w:t>
            </w:r>
          </w:p>
          <w:p w14:paraId="4F6CEB29" w14:textId="77777777" w:rsidR="000F7D3F" w:rsidRPr="0089013D" w:rsidRDefault="000E6A16" w:rsidP="005141F3">
            <w:pPr>
              <w:ind w:right="-113"/>
              <w:jc w:val="center"/>
              <w:rPr>
                <w:rStyle w:val="Hyperlink"/>
                <w:rFonts w:ascii="Arial" w:hAnsi="Arial" w:cs="Arial"/>
                <w:b/>
                <w:sz w:val="18"/>
                <w:szCs w:val="18"/>
                <w:lang w:val="en-IE"/>
              </w:rPr>
            </w:pPr>
            <w:hyperlink r:id="rId13" w:history="1">
              <w:r w:rsidR="005141F3" w:rsidRPr="0089013D">
                <w:rPr>
                  <w:rStyle w:val="Hyperlink"/>
                  <w:rFonts w:ascii="Arial" w:hAnsi="Arial" w:cs="Arial"/>
                  <w:b/>
                  <w:sz w:val="18"/>
                  <w:szCs w:val="18"/>
                  <w:lang w:val="en-IE"/>
                </w:rPr>
                <w:t>Kevin.Mulligan@ul.ie</w:t>
              </w:r>
            </w:hyperlink>
          </w:p>
          <w:p w14:paraId="5DF1E507" w14:textId="77777777" w:rsidR="005141F3" w:rsidRDefault="005141F3" w:rsidP="005141F3">
            <w:pPr>
              <w:ind w:right="-113"/>
              <w:jc w:val="center"/>
              <w:rPr>
                <w:rStyle w:val="Hyperlink"/>
                <w:rFonts w:ascii="Arial" w:hAnsi="Arial" w:cs="Arial"/>
                <w:b/>
                <w:sz w:val="20"/>
                <w:szCs w:val="20"/>
                <w:lang w:val="en-IE"/>
              </w:rPr>
            </w:pPr>
          </w:p>
          <w:p w14:paraId="3574A351" w14:textId="77777777" w:rsidR="005141F3" w:rsidRDefault="005141F3" w:rsidP="005141F3">
            <w:pPr>
              <w:ind w:right="-113"/>
              <w:jc w:val="center"/>
              <w:rPr>
                <w:rStyle w:val="Hyperlink"/>
                <w:rFonts w:ascii="Arial" w:hAnsi="Arial" w:cs="Arial"/>
                <w:b/>
                <w:sz w:val="20"/>
                <w:szCs w:val="20"/>
                <w:lang w:val="en-IE"/>
              </w:rPr>
            </w:pPr>
          </w:p>
          <w:p w14:paraId="2507E0D3" w14:textId="77777777" w:rsidR="0089013D" w:rsidRPr="0089013D" w:rsidRDefault="005141F3" w:rsidP="005141F3">
            <w:pPr>
              <w:jc w:val="center"/>
              <w:rPr>
                <w:rFonts w:ascii="Arial" w:hAnsi="Arial" w:cs="Arial"/>
                <w:b/>
                <w:sz w:val="18"/>
                <w:szCs w:val="18"/>
                <w:lang w:val="en-IE"/>
              </w:rPr>
            </w:pPr>
            <w:r w:rsidRPr="0089013D">
              <w:rPr>
                <w:rFonts w:ascii="Arial" w:hAnsi="Arial" w:cs="Arial"/>
                <w:b/>
                <w:sz w:val="18"/>
                <w:szCs w:val="18"/>
                <w:lang w:val="en-IE"/>
              </w:rPr>
              <w:t xml:space="preserve">Department of Economics, </w:t>
            </w:r>
          </w:p>
          <w:p w14:paraId="56AA17B7" w14:textId="64838811" w:rsidR="005141F3" w:rsidRPr="0089013D" w:rsidRDefault="005141F3" w:rsidP="005141F3">
            <w:pPr>
              <w:jc w:val="center"/>
              <w:rPr>
                <w:rFonts w:ascii="Arial" w:hAnsi="Arial" w:cs="Arial"/>
                <w:b/>
                <w:sz w:val="18"/>
                <w:szCs w:val="18"/>
                <w:lang w:val="en-IE"/>
              </w:rPr>
            </w:pPr>
            <w:proofErr w:type="spellStart"/>
            <w:r w:rsidRPr="0089013D">
              <w:rPr>
                <w:rFonts w:ascii="Arial" w:hAnsi="Arial" w:cs="Arial"/>
                <w:b/>
                <w:sz w:val="18"/>
                <w:szCs w:val="18"/>
                <w:lang w:val="en-IE"/>
              </w:rPr>
              <w:t>Kemmy</w:t>
            </w:r>
            <w:proofErr w:type="spellEnd"/>
            <w:r w:rsidRPr="0089013D">
              <w:rPr>
                <w:rFonts w:ascii="Arial" w:hAnsi="Arial" w:cs="Arial"/>
                <w:b/>
                <w:sz w:val="18"/>
                <w:szCs w:val="18"/>
                <w:lang w:val="en-IE"/>
              </w:rPr>
              <w:t xml:space="preserve"> Business School, </w:t>
            </w:r>
          </w:p>
          <w:p w14:paraId="565CB7A6" w14:textId="77777777" w:rsidR="005141F3" w:rsidRPr="0089013D" w:rsidRDefault="005141F3" w:rsidP="005141F3">
            <w:pPr>
              <w:jc w:val="center"/>
              <w:rPr>
                <w:rFonts w:ascii="Arial" w:hAnsi="Arial" w:cs="Arial"/>
                <w:b/>
                <w:sz w:val="18"/>
                <w:szCs w:val="18"/>
                <w:lang w:val="en-IE"/>
              </w:rPr>
            </w:pPr>
            <w:r w:rsidRPr="0089013D">
              <w:rPr>
                <w:rFonts w:ascii="Arial" w:hAnsi="Arial" w:cs="Arial"/>
                <w:b/>
                <w:sz w:val="18"/>
                <w:szCs w:val="18"/>
                <w:lang w:val="en-IE"/>
              </w:rPr>
              <w:t xml:space="preserve">University of Limerick, Ireland </w:t>
            </w:r>
          </w:p>
          <w:p w14:paraId="372C942D" w14:textId="23EC25D8" w:rsidR="005141F3" w:rsidRPr="007F0595" w:rsidRDefault="005141F3" w:rsidP="005141F3">
            <w:pPr>
              <w:ind w:right="-113"/>
              <w:jc w:val="center"/>
              <w:rPr>
                <w:rFonts w:asciiTheme="minorHAnsi" w:hAnsiTheme="minorHAnsi" w:cstheme="minorHAnsi"/>
                <w:sz w:val="20"/>
                <w:szCs w:val="20"/>
              </w:rPr>
            </w:pPr>
          </w:p>
        </w:tc>
      </w:tr>
      <w:tr w:rsidR="00751E09" w:rsidRPr="007F0595" w14:paraId="40EB7989" w14:textId="77777777" w:rsidTr="00DD403E">
        <w:tc>
          <w:tcPr>
            <w:tcW w:w="7655" w:type="dxa"/>
            <w:shd w:val="clear" w:color="auto" w:fill="17365D" w:themeFill="text2" w:themeFillShade="BF"/>
            <w:vAlign w:val="center"/>
          </w:tcPr>
          <w:p w14:paraId="0256CB72" w14:textId="77777777" w:rsidR="00751E09" w:rsidRPr="006261DC" w:rsidRDefault="00751E09" w:rsidP="00751E09">
            <w:pPr>
              <w:spacing w:before="120" w:after="120"/>
              <w:jc w:val="center"/>
              <w:rPr>
                <w:rFonts w:ascii="Arial" w:hAnsi="Arial" w:cs="Arial"/>
                <w:b/>
              </w:rPr>
            </w:pPr>
            <w:r w:rsidRPr="006261DC">
              <w:rPr>
                <w:rFonts w:ascii="Arial" w:hAnsi="Arial" w:cs="Arial"/>
                <w:b/>
              </w:rPr>
              <w:t>Key findings</w:t>
            </w:r>
          </w:p>
        </w:tc>
        <w:tc>
          <w:tcPr>
            <w:tcW w:w="2551" w:type="dxa"/>
            <w:vMerge/>
            <w:shd w:val="clear" w:color="auto" w:fill="FF6600"/>
          </w:tcPr>
          <w:p w14:paraId="56C78FFB" w14:textId="51092F26" w:rsidR="00751E09" w:rsidRPr="007F0595" w:rsidRDefault="00751E09" w:rsidP="00751E09">
            <w:pPr>
              <w:jc w:val="right"/>
              <w:rPr>
                <w:rFonts w:asciiTheme="minorHAnsi" w:hAnsiTheme="minorHAnsi" w:cstheme="minorHAnsi"/>
                <w:noProof/>
              </w:rPr>
            </w:pPr>
          </w:p>
        </w:tc>
      </w:tr>
      <w:tr w:rsidR="00751E09" w:rsidRPr="007F0595" w14:paraId="438283AA" w14:textId="77777777" w:rsidTr="00EF5E55">
        <w:trPr>
          <w:trHeight w:val="4714"/>
        </w:trPr>
        <w:tc>
          <w:tcPr>
            <w:tcW w:w="7655" w:type="dxa"/>
            <w:shd w:val="clear" w:color="auto" w:fill="FFFFFF" w:themeFill="background1"/>
          </w:tcPr>
          <w:p w14:paraId="4973BD26" w14:textId="77777777" w:rsidR="00FD3DF3" w:rsidRPr="001D63EB" w:rsidRDefault="00FD3DF3" w:rsidP="000B3B8F">
            <w:pPr>
              <w:jc w:val="both"/>
              <w:rPr>
                <w:rFonts w:ascii="Arial" w:hAnsi="Arial" w:cs="Arial"/>
                <w:sz w:val="22"/>
                <w:szCs w:val="22"/>
              </w:rPr>
            </w:pPr>
          </w:p>
          <w:p w14:paraId="2C963137" w14:textId="77777777" w:rsidR="005141F3" w:rsidRPr="0089013D" w:rsidRDefault="005141F3" w:rsidP="005141F3">
            <w:pPr>
              <w:jc w:val="both"/>
              <w:rPr>
                <w:rFonts w:ascii="Arial" w:hAnsi="Arial" w:cs="Arial"/>
                <w:sz w:val="20"/>
                <w:szCs w:val="20"/>
              </w:rPr>
            </w:pPr>
            <w:r w:rsidRPr="0089013D">
              <w:rPr>
                <w:rFonts w:ascii="Arial" w:hAnsi="Arial" w:cs="Arial"/>
                <w:sz w:val="20"/>
                <w:szCs w:val="20"/>
              </w:rPr>
              <w:t>Our analysis of the innovation and science policy instruments available to firms across eight countries covering the period 2007-2020 highlights several key observations:</w:t>
            </w:r>
          </w:p>
          <w:p w14:paraId="18EADAB5" w14:textId="3364AFB7" w:rsidR="005141F3" w:rsidRPr="0089013D" w:rsidRDefault="005141F3" w:rsidP="005141F3">
            <w:pPr>
              <w:pStyle w:val="ListParagraph"/>
              <w:numPr>
                <w:ilvl w:val="0"/>
                <w:numId w:val="18"/>
              </w:numPr>
              <w:jc w:val="both"/>
              <w:rPr>
                <w:rFonts w:ascii="Arial" w:hAnsi="Arial" w:cs="Arial"/>
                <w:sz w:val="20"/>
                <w:szCs w:val="20"/>
              </w:rPr>
            </w:pPr>
            <w:r w:rsidRPr="0089013D">
              <w:rPr>
                <w:rFonts w:ascii="Arial" w:hAnsi="Arial" w:cs="Arial"/>
                <w:sz w:val="20"/>
                <w:szCs w:val="20"/>
              </w:rPr>
              <w:t>Countries differ considerably in terms of the policy instruments employed to</w:t>
            </w:r>
            <w:r w:rsidR="00207606">
              <w:rPr>
                <w:rFonts w:ascii="Arial" w:hAnsi="Arial" w:cs="Arial"/>
                <w:sz w:val="20"/>
                <w:szCs w:val="20"/>
              </w:rPr>
              <w:t xml:space="preserve"> support firms’ innovation </w:t>
            </w:r>
            <w:r w:rsidR="00EA671C">
              <w:rPr>
                <w:rFonts w:ascii="Arial" w:hAnsi="Arial" w:cs="Arial"/>
                <w:sz w:val="20"/>
                <w:szCs w:val="20"/>
              </w:rPr>
              <w:t xml:space="preserve">and science </w:t>
            </w:r>
            <w:r w:rsidR="00207606">
              <w:rPr>
                <w:rFonts w:ascii="Arial" w:hAnsi="Arial" w:cs="Arial"/>
                <w:sz w:val="20"/>
                <w:szCs w:val="20"/>
              </w:rPr>
              <w:t>activities</w:t>
            </w:r>
            <w:r w:rsidRPr="0089013D">
              <w:rPr>
                <w:rFonts w:ascii="Arial" w:hAnsi="Arial" w:cs="Arial"/>
                <w:sz w:val="20"/>
                <w:szCs w:val="20"/>
              </w:rPr>
              <w:t>. Nominally similar policy instruments targeted at firms in each country often differ significantly in terms of their country-specific design features. This makes like-for-like comparisons challenging.</w:t>
            </w:r>
          </w:p>
          <w:p w14:paraId="04D50F6D" w14:textId="3B8946D5" w:rsidR="005141F3" w:rsidRPr="0089013D" w:rsidRDefault="005141F3" w:rsidP="005141F3">
            <w:pPr>
              <w:pStyle w:val="ListParagraph"/>
              <w:numPr>
                <w:ilvl w:val="0"/>
                <w:numId w:val="18"/>
              </w:numPr>
              <w:jc w:val="both"/>
              <w:rPr>
                <w:rFonts w:ascii="Arial" w:hAnsi="Arial" w:cs="Arial"/>
                <w:sz w:val="20"/>
                <w:szCs w:val="20"/>
              </w:rPr>
            </w:pPr>
            <w:r w:rsidRPr="0089013D">
              <w:rPr>
                <w:rFonts w:ascii="Arial" w:hAnsi="Arial" w:cs="Arial"/>
                <w:sz w:val="20"/>
                <w:szCs w:val="20"/>
              </w:rPr>
              <w:t xml:space="preserve">Since 2012, there has been a rapid growth in the use of R&amp;D tax credits, which have become by far the largest innovation policy instrument in the UK, Ireland, and Belgium. Drawing on the example of these countries, Germany introduced an R&amp;D tax credit scheme for the first time in 2020. However, other countries such as Denmark have not </w:t>
            </w:r>
            <w:r w:rsidR="00207606">
              <w:rPr>
                <w:rFonts w:ascii="Arial" w:hAnsi="Arial" w:cs="Arial"/>
                <w:sz w:val="20"/>
                <w:szCs w:val="20"/>
              </w:rPr>
              <w:t xml:space="preserve">yet </w:t>
            </w:r>
            <w:r w:rsidRPr="0089013D">
              <w:rPr>
                <w:rFonts w:ascii="Arial" w:hAnsi="Arial" w:cs="Arial"/>
                <w:sz w:val="20"/>
                <w:szCs w:val="20"/>
              </w:rPr>
              <w:t xml:space="preserve">followed suit. </w:t>
            </w:r>
          </w:p>
          <w:p w14:paraId="7CBD6884" w14:textId="77777777" w:rsidR="005141F3" w:rsidRPr="0089013D" w:rsidRDefault="005141F3" w:rsidP="005141F3">
            <w:pPr>
              <w:pStyle w:val="ListParagraph"/>
              <w:numPr>
                <w:ilvl w:val="0"/>
                <w:numId w:val="18"/>
              </w:numPr>
              <w:jc w:val="both"/>
              <w:rPr>
                <w:rFonts w:ascii="Arial" w:hAnsi="Arial" w:cs="Arial"/>
                <w:sz w:val="20"/>
                <w:szCs w:val="20"/>
              </w:rPr>
            </w:pPr>
            <w:r w:rsidRPr="0089013D">
              <w:rPr>
                <w:rFonts w:ascii="Arial" w:hAnsi="Arial" w:cs="Arial"/>
                <w:sz w:val="20"/>
                <w:szCs w:val="20"/>
              </w:rPr>
              <w:t>Each country tries to implement the best possible</w:t>
            </w:r>
            <w:r w:rsidRPr="0089013D">
              <w:rPr>
                <w:rFonts w:ascii="Arial" w:hAnsi="Arial" w:cs="Arial"/>
                <w:i/>
                <w:iCs/>
                <w:sz w:val="20"/>
                <w:szCs w:val="20"/>
              </w:rPr>
              <w:t xml:space="preserve"> mix</w:t>
            </w:r>
            <w:r w:rsidRPr="0089013D">
              <w:rPr>
                <w:rFonts w:ascii="Arial" w:hAnsi="Arial" w:cs="Arial"/>
                <w:sz w:val="20"/>
                <w:szCs w:val="20"/>
              </w:rPr>
              <w:t xml:space="preserve"> of </w:t>
            </w:r>
            <w:r w:rsidRPr="0089013D">
              <w:rPr>
                <w:rFonts w:ascii="Arial" w:hAnsi="Arial" w:cs="Arial"/>
                <w:i/>
                <w:sz w:val="20"/>
                <w:szCs w:val="20"/>
              </w:rPr>
              <w:t>different</w:t>
            </w:r>
            <w:r w:rsidRPr="0089013D">
              <w:rPr>
                <w:rFonts w:ascii="Arial" w:hAnsi="Arial" w:cs="Arial"/>
                <w:sz w:val="20"/>
                <w:szCs w:val="20"/>
              </w:rPr>
              <w:t xml:space="preserve"> policy instruments to impact firms' innovation and science outcomes, whilst also trying to find the </w:t>
            </w:r>
            <w:r w:rsidRPr="0089013D">
              <w:rPr>
                <w:rFonts w:ascii="Arial" w:hAnsi="Arial" w:cs="Arial"/>
                <w:i/>
                <w:sz w:val="20"/>
                <w:szCs w:val="20"/>
              </w:rPr>
              <w:t>most effective design</w:t>
            </w:r>
            <w:r w:rsidRPr="0089013D">
              <w:rPr>
                <w:rFonts w:ascii="Arial" w:hAnsi="Arial" w:cs="Arial"/>
                <w:sz w:val="20"/>
                <w:szCs w:val="20"/>
              </w:rPr>
              <w:t xml:space="preserve"> for each individual policy instrument in the mix. </w:t>
            </w:r>
          </w:p>
          <w:p w14:paraId="707D037B" w14:textId="77777777" w:rsidR="00326F8C" w:rsidRPr="00207606" w:rsidRDefault="005141F3" w:rsidP="000B3B8F">
            <w:pPr>
              <w:pStyle w:val="ListParagraph"/>
              <w:numPr>
                <w:ilvl w:val="0"/>
                <w:numId w:val="18"/>
              </w:numPr>
              <w:jc w:val="both"/>
              <w:rPr>
                <w:rFonts w:ascii="Arial" w:hAnsi="Arial" w:cs="Arial"/>
              </w:rPr>
            </w:pPr>
            <w:r w:rsidRPr="0089013D">
              <w:rPr>
                <w:rFonts w:ascii="Arial" w:hAnsi="Arial" w:cs="Arial"/>
                <w:sz w:val="20"/>
                <w:szCs w:val="20"/>
              </w:rPr>
              <w:t xml:space="preserve">Examining changes </w:t>
            </w:r>
            <w:r w:rsidRPr="0089013D">
              <w:rPr>
                <w:rFonts w:ascii="Arial" w:hAnsi="Arial" w:cs="Arial"/>
                <w:i/>
                <w:sz w:val="20"/>
                <w:szCs w:val="20"/>
              </w:rPr>
              <w:t>over time</w:t>
            </w:r>
            <w:r w:rsidRPr="0089013D">
              <w:rPr>
                <w:rFonts w:ascii="Arial" w:hAnsi="Arial" w:cs="Arial"/>
                <w:sz w:val="20"/>
                <w:szCs w:val="20"/>
              </w:rPr>
              <w:t xml:space="preserve"> is crucial to understanding how innovation and science policy instruments lead to firm-level impacts.</w:t>
            </w:r>
          </w:p>
          <w:p w14:paraId="24A25616" w14:textId="1C6F2F79" w:rsidR="00207606" w:rsidRPr="005141F3" w:rsidRDefault="00207606" w:rsidP="00597895">
            <w:pPr>
              <w:pStyle w:val="ListParagraph"/>
              <w:jc w:val="both"/>
              <w:rPr>
                <w:rFonts w:ascii="Arial" w:hAnsi="Arial" w:cs="Arial"/>
              </w:rPr>
            </w:pPr>
          </w:p>
        </w:tc>
        <w:tc>
          <w:tcPr>
            <w:tcW w:w="2551" w:type="dxa"/>
            <w:vMerge/>
            <w:shd w:val="clear" w:color="auto" w:fill="FF6600"/>
          </w:tcPr>
          <w:p w14:paraId="2B5DAB54" w14:textId="77777777" w:rsidR="00751E09" w:rsidRPr="007F0595" w:rsidRDefault="00751E09" w:rsidP="00751E09">
            <w:pPr>
              <w:jc w:val="center"/>
              <w:rPr>
                <w:rFonts w:asciiTheme="minorHAnsi" w:hAnsiTheme="minorHAnsi" w:cstheme="minorHAnsi"/>
                <w:noProof/>
              </w:rPr>
            </w:pPr>
          </w:p>
        </w:tc>
      </w:tr>
      <w:tr w:rsidR="00751E09" w:rsidRPr="007F0595" w14:paraId="297193E4" w14:textId="77777777" w:rsidTr="00EF5E55">
        <w:tc>
          <w:tcPr>
            <w:tcW w:w="7655" w:type="dxa"/>
            <w:shd w:val="clear" w:color="auto" w:fill="auto"/>
          </w:tcPr>
          <w:p w14:paraId="2CC28710" w14:textId="1377C1A0" w:rsidR="00751E09" w:rsidRPr="007F0595" w:rsidRDefault="00751E09" w:rsidP="00A84D21">
            <w:pPr>
              <w:jc w:val="both"/>
              <w:rPr>
                <w:rFonts w:asciiTheme="minorHAnsi" w:hAnsiTheme="minorHAnsi" w:cstheme="minorHAnsi"/>
              </w:rPr>
            </w:pPr>
          </w:p>
        </w:tc>
        <w:tc>
          <w:tcPr>
            <w:tcW w:w="2551" w:type="dxa"/>
            <w:vMerge/>
            <w:shd w:val="clear" w:color="auto" w:fill="FF6600"/>
            <w:vAlign w:val="center"/>
          </w:tcPr>
          <w:p w14:paraId="3DC4294F" w14:textId="77777777" w:rsidR="00751E09" w:rsidRPr="007F0595" w:rsidRDefault="00751E09" w:rsidP="00080E9D">
            <w:pPr>
              <w:jc w:val="right"/>
              <w:rPr>
                <w:rFonts w:asciiTheme="minorHAnsi" w:hAnsiTheme="minorHAnsi" w:cstheme="minorHAnsi"/>
                <w:noProof/>
                <w:color w:val="FF0000"/>
              </w:rPr>
            </w:pPr>
          </w:p>
        </w:tc>
      </w:tr>
    </w:tbl>
    <w:p w14:paraId="054363A7" w14:textId="77777777" w:rsidR="008D7F5E" w:rsidRPr="007F0595" w:rsidRDefault="008D7F5E" w:rsidP="00C505E9">
      <w:pPr>
        <w:rPr>
          <w:rFonts w:asciiTheme="minorHAnsi" w:hAnsiTheme="minorHAnsi" w:cstheme="minorHAnsi"/>
        </w:rPr>
        <w:sectPr w:rsidR="008D7F5E" w:rsidRPr="007F0595" w:rsidSect="00C505E9">
          <w:pgSz w:w="11906" w:h="16838"/>
          <w:pgMar w:top="851" w:right="851" w:bottom="851" w:left="851"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260"/>
        <w:gridCol w:w="488"/>
      </w:tblGrid>
      <w:tr w:rsidR="008D7F5E" w:rsidRPr="007F0595" w14:paraId="526812D5" w14:textId="77777777" w:rsidTr="00FD75F6">
        <w:tc>
          <w:tcPr>
            <w:tcW w:w="10204" w:type="dxa"/>
            <w:gridSpan w:val="3"/>
          </w:tcPr>
          <w:p w14:paraId="0552BEA2" w14:textId="77777777" w:rsidR="008D7F5E" w:rsidRPr="007F0595" w:rsidRDefault="008D7F5E" w:rsidP="008D7F5E">
            <w:pPr>
              <w:jc w:val="right"/>
              <w:rPr>
                <w:rFonts w:asciiTheme="minorHAnsi" w:hAnsiTheme="minorHAnsi" w:cstheme="minorHAnsi"/>
              </w:rPr>
            </w:pPr>
            <w:r w:rsidRPr="007F0595">
              <w:rPr>
                <w:rFonts w:asciiTheme="minorHAnsi" w:hAnsiTheme="minorHAnsi" w:cstheme="minorHAnsi"/>
                <w:noProof/>
                <w:lang w:val="en-IE" w:eastAsia="ja-JP"/>
              </w:rPr>
              <w:lastRenderedPageBreak/>
              <w:drawing>
                <wp:inline distT="0" distB="0" distL="0" distR="0" wp14:anchorId="53D8012E" wp14:editId="20B21782">
                  <wp:extent cx="16002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inline>
              </w:drawing>
            </w:r>
          </w:p>
        </w:tc>
      </w:tr>
      <w:tr w:rsidR="00955A14" w:rsidRPr="007F0595" w14:paraId="43FDD1E3" w14:textId="77777777" w:rsidTr="004B7229">
        <w:tc>
          <w:tcPr>
            <w:tcW w:w="1008" w:type="dxa"/>
          </w:tcPr>
          <w:p w14:paraId="73B61FC5" w14:textId="77777777" w:rsidR="00955A14" w:rsidRPr="007F0595" w:rsidRDefault="00955A14" w:rsidP="00E20694">
            <w:pPr>
              <w:rPr>
                <w:rFonts w:asciiTheme="minorHAnsi" w:hAnsiTheme="minorHAnsi" w:cstheme="minorHAnsi"/>
              </w:rPr>
            </w:pPr>
          </w:p>
        </w:tc>
        <w:tc>
          <w:tcPr>
            <w:tcW w:w="8081" w:type="dxa"/>
            <w:shd w:val="clear" w:color="auto" w:fill="17365D" w:themeFill="text2" w:themeFillShade="BF"/>
          </w:tcPr>
          <w:p w14:paraId="2CEDC506" w14:textId="1AFF52C3" w:rsidR="00955A14" w:rsidRPr="005141F3" w:rsidRDefault="005141F3" w:rsidP="00E20694">
            <w:pPr>
              <w:spacing w:before="120" w:after="120"/>
              <w:jc w:val="center"/>
              <w:rPr>
                <w:rFonts w:ascii="Arial" w:hAnsi="Arial" w:cs="Arial"/>
                <w:b/>
              </w:rPr>
            </w:pPr>
            <w:r w:rsidRPr="005141F3">
              <w:rPr>
                <w:rFonts w:ascii="Arial" w:hAnsi="Arial" w:cs="Arial"/>
                <w:b/>
              </w:rPr>
              <w:t>Cross-country comparison</w:t>
            </w:r>
          </w:p>
        </w:tc>
        <w:tc>
          <w:tcPr>
            <w:tcW w:w="1115" w:type="dxa"/>
          </w:tcPr>
          <w:p w14:paraId="38AC45C8" w14:textId="77777777" w:rsidR="00955A14" w:rsidRPr="007F0595" w:rsidRDefault="00955A14" w:rsidP="00E20694">
            <w:pPr>
              <w:rPr>
                <w:rFonts w:asciiTheme="minorHAnsi" w:hAnsiTheme="minorHAnsi" w:cstheme="minorHAnsi"/>
              </w:rPr>
            </w:pPr>
          </w:p>
        </w:tc>
      </w:tr>
      <w:tr w:rsidR="00955A14" w:rsidRPr="007F0595" w14:paraId="4AE32E69" w14:textId="77777777" w:rsidTr="004B7229">
        <w:tc>
          <w:tcPr>
            <w:tcW w:w="1008" w:type="dxa"/>
          </w:tcPr>
          <w:p w14:paraId="7B69CF32" w14:textId="77777777" w:rsidR="00955A14" w:rsidRPr="00AA1936" w:rsidRDefault="00955A14" w:rsidP="00AA1936">
            <w:pPr>
              <w:rPr>
                <w:rFonts w:ascii="Arial" w:hAnsi="Arial" w:cs="Arial"/>
                <w:sz w:val="22"/>
                <w:szCs w:val="22"/>
              </w:rPr>
            </w:pPr>
          </w:p>
        </w:tc>
        <w:tc>
          <w:tcPr>
            <w:tcW w:w="8081" w:type="dxa"/>
          </w:tcPr>
          <w:p w14:paraId="0D66F20B" w14:textId="77777777" w:rsidR="00AA1936" w:rsidRDefault="00AA1936" w:rsidP="00475731">
            <w:pPr>
              <w:pStyle w:val="ListParagraph"/>
              <w:spacing w:after="0" w:line="276" w:lineRule="auto"/>
              <w:ind w:left="0"/>
              <w:jc w:val="both"/>
              <w:rPr>
                <w:rFonts w:ascii="Arial" w:hAnsi="Arial" w:cs="Arial"/>
              </w:rPr>
            </w:pPr>
          </w:p>
          <w:p w14:paraId="67222A41" w14:textId="19861349" w:rsidR="005141F3" w:rsidRDefault="005141F3" w:rsidP="005141F3">
            <w:pPr>
              <w:jc w:val="both"/>
              <w:rPr>
                <w:rFonts w:ascii="Arial" w:hAnsi="Arial" w:cs="Arial"/>
                <w:sz w:val="20"/>
                <w:szCs w:val="20"/>
              </w:rPr>
            </w:pPr>
            <w:r w:rsidRPr="0089013D">
              <w:rPr>
                <w:rFonts w:ascii="Arial" w:hAnsi="Arial" w:cs="Arial"/>
                <w:sz w:val="20"/>
                <w:szCs w:val="20"/>
              </w:rPr>
              <w:t>Figure 1 demonstrates the different emphasis some countries place on direct funding for firms through R&amp;D grants versus indirectly funding firms through R&amp;D tax credits.</w:t>
            </w:r>
          </w:p>
          <w:p w14:paraId="56461D71" w14:textId="5AE46CB6" w:rsidR="00207606" w:rsidRDefault="00207606" w:rsidP="005141F3">
            <w:pPr>
              <w:jc w:val="both"/>
              <w:rPr>
                <w:rFonts w:ascii="Arial" w:hAnsi="Arial" w:cs="Arial"/>
                <w:sz w:val="20"/>
                <w:szCs w:val="20"/>
              </w:rPr>
            </w:pPr>
          </w:p>
          <w:p w14:paraId="082B7B34" w14:textId="029D21B9" w:rsidR="00207606" w:rsidRPr="0089013D" w:rsidRDefault="00207606" w:rsidP="005141F3">
            <w:pPr>
              <w:jc w:val="both"/>
              <w:rPr>
                <w:rFonts w:ascii="Arial" w:hAnsi="Arial" w:cs="Arial"/>
                <w:sz w:val="20"/>
                <w:szCs w:val="20"/>
              </w:rPr>
            </w:pPr>
            <w:r w:rsidRPr="0089013D">
              <w:rPr>
                <w:rFonts w:ascii="Arial" w:hAnsi="Arial" w:cs="Arial"/>
                <w:sz w:val="20"/>
                <w:szCs w:val="20"/>
              </w:rPr>
              <w:t>Most publicly</w:t>
            </w:r>
            <w:r w:rsidR="00597895">
              <w:rPr>
                <w:rFonts w:ascii="Arial" w:hAnsi="Arial" w:cs="Arial"/>
                <w:sz w:val="20"/>
                <w:szCs w:val="20"/>
              </w:rPr>
              <w:t xml:space="preserve"> </w:t>
            </w:r>
            <w:r w:rsidRPr="0089013D">
              <w:rPr>
                <w:rFonts w:ascii="Arial" w:hAnsi="Arial" w:cs="Arial"/>
                <w:sz w:val="20"/>
                <w:szCs w:val="20"/>
              </w:rPr>
              <w:t xml:space="preserve">available repositories of information do not provide sufficient information to conduct an in-depth cross-country comparison of firm-level supports. For example, although many countries may offer R&amp;D tax credit schemes, some place greater emphasis on Small and Medium-sized Enterprises (SMEs), or firms in specific high technology sectors, while other countries offer across-the-board tax credits available to all firms. This level of detail is crucial when trying to learn policy lessons from other countries’ experiences of using specific policy instruments, in an effort to achieve policy improvements. </w:t>
            </w:r>
          </w:p>
          <w:p w14:paraId="6D9C66BE" w14:textId="77777777" w:rsidR="005141F3" w:rsidRDefault="005141F3" w:rsidP="000B3B8F">
            <w:pPr>
              <w:pStyle w:val="ListParagraph"/>
              <w:spacing w:after="0" w:line="240" w:lineRule="auto"/>
              <w:ind w:left="0"/>
              <w:jc w:val="both"/>
              <w:rPr>
                <w:rFonts w:ascii="Arial" w:hAnsi="Arial" w:cs="Arial"/>
              </w:rPr>
            </w:pPr>
          </w:p>
          <w:p w14:paraId="6A9395B8" w14:textId="0D655529" w:rsidR="005545B6" w:rsidRDefault="00601F1F" w:rsidP="00A0718B">
            <w:pPr>
              <w:rPr>
                <w:b/>
              </w:rPr>
            </w:pPr>
            <w:r>
              <w:rPr>
                <w:b/>
                <w:noProof/>
                <w:lang w:val="en-IE" w:eastAsia="ja-JP"/>
              </w:rPr>
              <w:drawing>
                <wp:inline distT="0" distB="0" distL="0" distR="0" wp14:anchorId="3F38DD60" wp14:editId="40B8D237">
                  <wp:extent cx="5742940" cy="2950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2950845"/>
                          </a:xfrm>
                          <a:prstGeom prst="rect">
                            <a:avLst/>
                          </a:prstGeom>
                          <a:noFill/>
                        </pic:spPr>
                      </pic:pic>
                    </a:graphicData>
                  </a:graphic>
                </wp:inline>
              </w:drawing>
            </w:r>
          </w:p>
          <w:p w14:paraId="253EBA49" w14:textId="19EC3333" w:rsidR="000B3B8F" w:rsidRPr="00AA1936" w:rsidRDefault="000B3B8F" w:rsidP="000B3B8F">
            <w:pPr>
              <w:pStyle w:val="ListParagraph"/>
              <w:spacing w:after="0" w:line="240" w:lineRule="auto"/>
              <w:ind w:left="0"/>
              <w:jc w:val="both"/>
              <w:rPr>
                <w:rFonts w:ascii="Arial" w:hAnsi="Arial" w:cs="Arial"/>
              </w:rPr>
            </w:pPr>
          </w:p>
        </w:tc>
        <w:tc>
          <w:tcPr>
            <w:tcW w:w="1115" w:type="dxa"/>
          </w:tcPr>
          <w:p w14:paraId="727D4594" w14:textId="77777777" w:rsidR="00955A14" w:rsidRPr="007F0595" w:rsidRDefault="00955A14" w:rsidP="00E20694">
            <w:pPr>
              <w:rPr>
                <w:rFonts w:asciiTheme="minorHAnsi" w:hAnsiTheme="minorHAnsi" w:cstheme="minorHAnsi"/>
              </w:rPr>
            </w:pPr>
          </w:p>
        </w:tc>
      </w:tr>
      <w:tr w:rsidR="00A55C15" w:rsidRPr="007F0595" w14:paraId="6242C917" w14:textId="77777777" w:rsidTr="004B7229">
        <w:tc>
          <w:tcPr>
            <w:tcW w:w="1008" w:type="dxa"/>
          </w:tcPr>
          <w:p w14:paraId="66647AF5" w14:textId="3AC3289E" w:rsidR="00A55C15" w:rsidRPr="007F0595" w:rsidRDefault="00A55C15" w:rsidP="00A55C15">
            <w:pPr>
              <w:rPr>
                <w:rFonts w:asciiTheme="minorHAnsi" w:hAnsiTheme="minorHAnsi" w:cstheme="minorHAnsi"/>
              </w:rPr>
            </w:pPr>
          </w:p>
        </w:tc>
        <w:tc>
          <w:tcPr>
            <w:tcW w:w="8081" w:type="dxa"/>
            <w:shd w:val="clear" w:color="auto" w:fill="17365D" w:themeFill="text2" w:themeFillShade="BF"/>
          </w:tcPr>
          <w:p w14:paraId="37CE01F0" w14:textId="6B6906EF" w:rsidR="00A55C15" w:rsidRPr="006261DC" w:rsidRDefault="00A55C15" w:rsidP="00A55C15">
            <w:pPr>
              <w:spacing w:before="120" w:after="120"/>
              <w:jc w:val="center"/>
              <w:rPr>
                <w:rFonts w:ascii="Arial" w:hAnsi="Arial" w:cs="Arial"/>
              </w:rPr>
            </w:pPr>
            <w:r w:rsidRPr="006261DC">
              <w:rPr>
                <w:rFonts w:ascii="Arial" w:hAnsi="Arial" w:cs="Arial"/>
                <w:b/>
                <w:color w:val="FFFFFF" w:themeColor="background1"/>
              </w:rPr>
              <w:t xml:space="preserve"> </w:t>
            </w:r>
            <w:r w:rsidR="006143BD">
              <w:rPr>
                <w:rFonts w:ascii="Arial" w:hAnsi="Arial" w:cs="Arial"/>
                <w:b/>
                <w:color w:val="FFFFFF" w:themeColor="background1"/>
              </w:rPr>
              <w:t>I</w:t>
            </w:r>
            <w:r w:rsidRPr="006261DC">
              <w:rPr>
                <w:rFonts w:ascii="Arial" w:hAnsi="Arial" w:cs="Arial"/>
                <w:b/>
                <w:color w:val="FFFFFF" w:themeColor="background1"/>
              </w:rPr>
              <w:t>mplications</w:t>
            </w:r>
            <w:r w:rsidR="006143BD">
              <w:rPr>
                <w:rFonts w:ascii="Arial" w:hAnsi="Arial" w:cs="Arial"/>
                <w:b/>
                <w:color w:val="FFFFFF" w:themeColor="background1"/>
              </w:rPr>
              <w:t xml:space="preserve"> for </w:t>
            </w:r>
            <w:r w:rsidR="005545B6">
              <w:rPr>
                <w:rFonts w:ascii="Arial" w:hAnsi="Arial" w:cs="Arial"/>
                <w:b/>
                <w:color w:val="FFFFFF" w:themeColor="background1"/>
              </w:rPr>
              <w:t>policy</w:t>
            </w:r>
          </w:p>
        </w:tc>
        <w:tc>
          <w:tcPr>
            <w:tcW w:w="1115" w:type="dxa"/>
          </w:tcPr>
          <w:p w14:paraId="752D3478" w14:textId="77777777" w:rsidR="00A55C15" w:rsidRPr="007F0595" w:rsidRDefault="00A55C15" w:rsidP="00A55C15">
            <w:pPr>
              <w:rPr>
                <w:rFonts w:asciiTheme="minorHAnsi" w:hAnsiTheme="minorHAnsi" w:cstheme="minorHAnsi"/>
              </w:rPr>
            </w:pPr>
          </w:p>
        </w:tc>
      </w:tr>
      <w:tr w:rsidR="00A55C15" w:rsidRPr="007F0595" w14:paraId="45ED7F90" w14:textId="77777777" w:rsidTr="004B7229">
        <w:tc>
          <w:tcPr>
            <w:tcW w:w="1008" w:type="dxa"/>
          </w:tcPr>
          <w:p w14:paraId="37296DF8" w14:textId="77777777" w:rsidR="00A55C15" w:rsidRPr="007F0595" w:rsidRDefault="00A55C15" w:rsidP="00A55C15">
            <w:pPr>
              <w:rPr>
                <w:rFonts w:asciiTheme="minorHAnsi" w:hAnsiTheme="minorHAnsi" w:cstheme="minorHAnsi"/>
              </w:rPr>
            </w:pPr>
          </w:p>
        </w:tc>
        <w:tc>
          <w:tcPr>
            <w:tcW w:w="8081" w:type="dxa"/>
          </w:tcPr>
          <w:p w14:paraId="1E38F0C1" w14:textId="161F3418" w:rsidR="00C30787" w:rsidRPr="00E36835" w:rsidRDefault="00C30787" w:rsidP="00563E18">
            <w:pPr>
              <w:jc w:val="both"/>
              <w:rPr>
                <w:rFonts w:ascii="Arial" w:hAnsi="Arial" w:cs="Arial"/>
                <w:sz w:val="22"/>
                <w:szCs w:val="22"/>
              </w:rPr>
            </w:pPr>
          </w:p>
          <w:p w14:paraId="1E5CBD12" w14:textId="051B13F1" w:rsidR="005141F3" w:rsidRPr="0089013D" w:rsidRDefault="005141F3" w:rsidP="005141F3">
            <w:pPr>
              <w:jc w:val="both"/>
              <w:rPr>
                <w:rFonts w:ascii="Arial" w:hAnsi="Arial" w:cs="Arial"/>
                <w:sz w:val="20"/>
                <w:szCs w:val="20"/>
              </w:rPr>
            </w:pPr>
            <w:r w:rsidRPr="0089013D">
              <w:rPr>
                <w:rFonts w:ascii="Arial" w:hAnsi="Arial" w:cs="Arial"/>
                <w:sz w:val="20"/>
                <w:szCs w:val="20"/>
              </w:rPr>
              <w:t xml:space="preserve">Countries dedicate significant public funding to support firm-level innovation and science. It is imperative that this investment produces a return for the economy and society. A cross-country comparative analysis offers a powerful tool to foster policy learning and maximise the impact of innovation and science policy instruments. However, our policy report highlights that when it comes to the implementation of public funding for R&amp;D, </w:t>
            </w:r>
            <w:r w:rsidRPr="0089013D">
              <w:rPr>
                <w:rFonts w:ascii="Arial" w:hAnsi="Arial" w:cs="Arial"/>
                <w:i/>
                <w:sz w:val="20"/>
                <w:szCs w:val="20"/>
              </w:rPr>
              <w:t>one size does not fit all</w:t>
            </w:r>
            <w:r w:rsidRPr="0089013D">
              <w:rPr>
                <w:rFonts w:ascii="Arial" w:hAnsi="Arial" w:cs="Arial"/>
                <w:sz w:val="20"/>
                <w:szCs w:val="20"/>
              </w:rPr>
              <w:t>.</w:t>
            </w:r>
          </w:p>
          <w:p w14:paraId="6920FECE" w14:textId="77777777" w:rsidR="00207606" w:rsidRDefault="00207606" w:rsidP="005141F3">
            <w:pPr>
              <w:jc w:val="both"/>
              <w:rPr>
                <w:rFonts w:ascii="Arial" w:hAnsi="Arial" w:cs="Arial"/>
                <w:sz w:val="20"/>
                <w:szCs w:val="20"/>
              </w:rPr>
            </w:pPr>
          </w:p>
          <w:p w14:paraId="66CE22CB" w14:textId="62EAE04E" w:rsidR="005141F3" w:rsidRDefault="005141F3" w:rsidP="005141F3">
            <w:pPr>
              <w:jc w:val="both"/>
              <w:rPr>
                <w:rFonts w:ascii="Arial" w:hAnsi="Arial" w:cs="Arial"/>
                <w:sz w:val="20"/>
                <w:szCs w:val="20"/>
              </w:rPr>
            </w:pPr>
            <w:r w:rsidRPr="0089013D">
              <w:rPr>
                <w:rFonts w:ascii="Arial" w:hAnsi="Arial" w:cs="Arial"/>
                <w:sz w:val="20"/>
                <w:szCs w:val="20"/>
              </w:rPr>
              <w:t xml:space="preserve">When examining the science and innovation policy instruments available to firms across different countries, it is crucial to understand the process of policy experimentation, which takes place </w:t>
            </w:r>
            <w:r w:rsidRPr="0089013D">
              <w:rPr>
                <w:rFonts w:ascii="Arial" w:hAnsi="Arial" w:cs="Arial"/>
                <w:i/>
                <w:sz w:val="20"/>
                <w:szCs w:val="20"/>
              </w:rPr>
              <w:t>over a long time period</w:t>
            </w:r>
            <w:r w:rsidRPr="0089013D">
              <w:rPr>
                <w:rFonts w:ascii="Arial" w:hAnsi="Arial" w:cs="Arial"/>
                <w:sz w:val="20"/>
                <w:szCs w:val="20"/>
              </w:rPr>
              <w:t xml:space="preserve">. Policy goals change as the economic and social conditions in each country change over time. This results in alterations to specific policy instruments (e.g. increasing the level of support, or making certain instruments available only to SMEs), as well as the mix of policy instruments on offer to firms (e.g. Germany introducing the R&amp;D tax credit in 2020). </w:t>
            </w:r>
          </w:p>
          <w:p w14:paraId="67AC0D17" w14:textId="77777777" w:rsidR="00207606" w:rsidRPr="0089013D" w:rsidRDefault="00207606" w:rsidP="005141F3">
            <w:pPr>
              <w:jc w:val="both"/>
              <w:rPr>
                <w:rFonts w:ascii="Arial" w:hAnsi="Arial" w:cs="Arial"/>
                <w:sz w:val="20"/>
                <w:szCs w:val="20"/>
              </w:rPr>
            </w:pPr>
          </w:p>
          <w:p w14:paraId="0D19BBFD" w14:textId="7E7F0C63" w:rsidR="005141F3" w:rsidRPr="0089013D" w:rsidRDefault="005141F3" w:rsidP="005141F3">
            <w:pPr>
              <w:jc w:val="both"/>
              <w:rPr>
                <w:rFonts w:ascii="Arial" w:hAnsi="Arial" w:cs="Arial"/>
                <w:sz w:val="20"/>
                <w:szCs w:val="20"/>
              </w:rPr>
            </w:pPr>
            <w:r w:rsidRPr="0089013D">
              <w:rPr>
                <w:rFonts w:ascii="Arial" w:hAnsi="Arial" w:cs="Arial"/>
                <w:sz w:val="20"/>
                <w:szCs w:val="20"/>
              </w:rPr>
              <w:t xml:space="preserve">Countries can learn from one another to improve the effectiveness of the innovation and science policy instruments they offer to firms. However, it is crucial that </w:t>
            </w:r>
            <w:r w:rsidR="00207606">
              <w:rPr>
                <w:rFonts w:ascii="Arial" w:hAnsi="Arial" w:cs="Arial"/>
                <w:sz w:val="20"/>
                <w:szCs w:val="20"/>
              </w:rPr>
              <w:t xml:space="preserve">situational differences and policy synergies and overlaps </w:t>
            </w:r>
            <w:r w:rsidRPr="0089013D">
              <w:rPr>
                <w:rFonts w:ascii="Arial" w:hAnsi="Arial" w:cs="Arial"/>
                <w:sz w:val="20"/>
                <w:szCs w:val="20"/>
              </w:rPr>
              <w:t>are taken into consideration when comparing policy instruments across countries</w:t>
            </w:r>
            <w:r w:rsidR="00207606">
              <w:rPr>
                <w:rFonts w:ascii="Arial" w:hAnsi="Arial" w:cs="Arial"/>
                <w:sz w:val="20"/>
                <w:szCs w:val="20"/>
              </w:rPr>
              <w:t xml:space="preserve">. </w:t>
            </w:r>
            <w:r w:rsidRPr="0089013D">
              <w:rPr>
                <w:rFonts w:ascii="Arial" w:hAnsi="Arial" w:cs="Arial"/>
                <w:sz w:val="20"/>
                <w:szCs w:val="20"/>
              </w:rPr>
              <w:t xml:space="preserve"> </w:t>
            </w:r>
          </w:p>
          <w:p w14:paraId="2F4D7E27" w14:textId="77777777" w:rsidR="005141F3" w:rsidRDefault="005141F3" w:rsidP="005141F3">
            <w:pPr>
              <w:jc w:val="both"/>
            </w:pPr>
          </w:p>
          <w:p w14:paraId="4AED5C35" w14:textId="0693B828" w:rsidR="005141F3" w:rsidRPr="0089013D" w:rsidRDefault="005141F3" w:rsidP="005141F3">
            <w:pPr>
              <w:jc w:val="both"/>
              <w:rPr>
                <w:rFonts w:ascii="Arial" w:hAnsi="Arial" w:cs="Arial"/>
                <w:sz w:val="20"/>
                <w:szCs w:val="20"/>
              </w:rPr>
            </w:pPr>
            <w:r w:rsidRPr="0089013D">
              <w:rPr>
                <w:rFonts w:ascii="Arial" w:hAnsi="Arial" w:cs="Arial"/>
                <w:b/>
                <w:sz w:val="20"/>
                <w:szCs w:val="20"/>
              </w:rPr>
              <w:t>Funding acknowledgement:</w:t>
            </w:r>
            <w:r w:rsidRPr="0089013D">
              <w:rPr>
                <w:rFonts w:ascii="Arial" w:hAnsi="Arial" w:cs="Arial"/>
                <w:sz w:val="20"/>
                <w:szCs w:val="20"/>
              </w:rPr>
              <w:t xml:space="preserve"> This publication </w:t>
            </w:r>
            <w:r w:rsidR="00207606">
              <w:rPr>
                <w:rFonts w:ascii="Arial" w:hAnsi="Arial" w:cs="Arial"/>
                <w:sz w:val="20"/>
                <w:szCs w:val="20"/>
              </w:rPr>
              <w:t xml:space="preserve">comes </w:t>
            </w:r>
            <w:r w:rsidRPr="0089013D">
              <w:rPr>
                <w:rFonts w:ascii="Arial" w:hAnsi="Arial" w:cs="Arial"/>
                <w:sz w:val="20"/>
                <w:szCs w:val="20"/>
              </w:rPr>
              <w:t>from research support</w:t>
            </w:r>
            <w:r w:rsidR="00207606">
              <w:rPr>
                <w:rFonts w:ascii="Arial" w:hAnsi="Arial" w:cs="Arial"/>
                <w:sz w:val="20"/>
                <w:szCs w:val="20"/>
              </w:rPr>
              <w:t>ed by</w:t>
            </w:r>
            <w:r w:rsidRPr="0089013D">
              <w:rPr>
                <w:rFonts w:ascii="Arial" w:hAnsi="Arial" w:cs="Arial"/>
                <w:sz w:val="20"/>
                <w:szCs w:val="20"/>
              </w:rPr>
              <w:t xml:space="preserve"> Science Foundation Ireland (SFI) under Grant number 17/SPR/5328.</w:t>
            </w:r>
          </w:p>
          <w:p w14:paraId="2E732431" w14:textId="62B394B5" w:rsidR="005545B6" w:rsidRPr="005141F3" w:rsidRDefault="005545B6" w:rsidP="005141F3">
            <w:pPr>
              <w:rPr>
                <w:rFonts w:ascii="Arial" w:hAnsi="Arial" w:cs="Arial"/>
                <w:sz w:val="22"/>
                <w:szCs w:val="22"/>
                <w:lang w:val="en-IE"/>
              </w:rPr>
            </w:pPr>
          </w:p>
        </w:tc>
        <w:tc>
          <w:tcPr>
            <w:tcW w:w="1115" w:type="dxa"/>
          </w:tcPr>
          <w:p w14:paraId="12404040" w14:textId="77777777" w:rsidR="00A55C15" w:rsidRPr="007F0595" w:rsidRDefault="00A55C15" w:rsidP="00A55C15">
            <w:pPr>
              <w:rPr>
                <w:rFonts w:asciiTheme="minorHAnsi" w:hAnsiTheme="minorHAnsi" w:cstheme="minorHAnsi"/>
              </w:rPr>
            </w:pPr>
          </w:p>
        </w:tc>
      </w:tr>
      <w:tr w:rsidR="00A55C15" w:rsidRPr="007F0595" w14:paraId="6D0D0A4A" w14:textId="77777777" w:rsidTr="004B7229">
        <w:tc>
          <w:tcPr>
            <w:tcW w:w="1008" w:type="dxa"/>
          </w:tcPr>
          <w:p w14:paraId="43438683" w14:textId="77777777" w:rsidR="00A55C15" w:rsidRPr="007F0595" w:rsidRDefault="00A55C15" w:rsidP="00A55C15">
            <w:pPr>
              <w:rPr>
                <w:rFonts w:asciiTheme="minorHAnsi" w:hAnsiTheme="minorHAnsi" w:cstheme="minorHAnsi"/>
              </w:rPr>
            </w:pPr>
          </w:p>
        </w:tc>
        <w:tc>
          <w:tcPr>
            <w:tcW w:w="8081" w:type="dxa"/>
            <w:shd w:val="clear" w:color="auto" w:fill="95B3D7" w:themeFill="accent1" w:themeFillTint="99"/>
          </w:tcPr>
          <w:p w14:paraId="6C159305" w14:textId="01D4CF65" w:rsidR="00BD1434" w:rsidRPr="0089013D" w:rsidRDefault="00BD1434" w:rsidP="005141F3">
            <w:pPr>
              <w:spacing w:before="120" w:after="200"/>
              <w:jc w:val="center"/>
              <w:rPr>
                <w:rFonts w:ascii="Arial" w:hAnsi="Arial" w:cs="Arial"/>
                <w:b/>
                <w:iCs/>
              </w:rPr>
            </w:pPr>
          </w:p>
        </w:tc>
        <w:tc>
          <w:tcPr>
            <w:tcW w:w="1115" w:type="dxa"/>
          </w:tcPr>
          <w:p w14:paraId="12B60C92" w14:textId="77777777" w:rsidR="00A55C15" w:rsidRPr="007F0595" w:rsidRDefault="00A55C15" w:rsidP="00A55C15">
            <w:pPr>
              <w:rPr>
                <w:rFonts w:asciiTheme="minorHAnsi" w:hAnsiTheme="minorHAnsi" w:cstheme="minorHAnsi"/>
              </w:rPr>
            </w:pPr>
          </w:p>
        </w:tc>
      </w:tr>
    </w:tbl>
    <w:p w14:paraId="28509D23" w14:textId="77777777" w:rsidR="008D7F5E" w:rsidRPr="007F0595" w:rsidRDefault="008D7F5E" w:rsidP="00207606">
      <w:pPr>
        <w:rPr>
          <w:rFonts w:asciiTheme="minorHAnsi" w:hAnsiTheme="minorHAnsi" w:cstheme="minorHAnsi"/>
        </w:rPr>
      </w:pPr>
    </w:p>
    <w:sectPr w:rsidR="008D7F5E" w:rsidRPr="007F0595" w:rsidSect="00C3078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F628" w14:textId="77777777" w:rsidR="000E6A16" w:rsidRDefault="000E6A16" w:rsidP="001D325F">
      <w:r>
        <w:separator/>
      </w:r>
    </w:p>
  </w:endnote>
  <w:endnote w:type="continuationSeparator" w:id="0">
    <w:p w14:paraId="07D3E729" w14:textId="77777777" w:rsidR="000E6A16" w:rsidRDefault="000E6A16" w:rsidP="001D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A4376" w14:textId="77777777" w:rsidR="000E6A16" w:rsidRDefault="000E6A16" w:rsidP="001D325F">
      <w:r>
        <w:separator/>
      </w:r>
    </w:p>
  </w:footnote>
  <w:footnote w:type="continuationSeparator" w:id="0">
    <w:p w14:paraId="66DECF02" w14:textId="77777777" w:rsidR="000E6A16" w:rsidRDefault="000E6A16" w:rsidP="001D3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713A"/>
    <w:multiLevelType w:val="hybridMultilevel"/>
    <w:tmpl w:val="1726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1DD5"/>
    <w:multiLevelType w:val="hybridMultilevel"/>
    <w:tmpl w:val="63AA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67EFC"/>
    <w:multiLevelType w:val="hybridMultilevel"/>
    <w:tmpl w:val="C35E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C37CA"/>
    <w:multiLevelType w:val="hybridMultilevel"/>
    <w:tmpl w:val="5EBCD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90C97"/>
    <w:multiLevelType w:val="hybridMultilevel"/>
    <w:tmpl w:val="3F2E3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ED2783"/>
    <w:multiLevelType w:val="hybridMultilevel"/>
    <w:tmpl w:val="FFA2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864B4"/>
    <w:multiLevelType w:val="hybridMultilevel"/>
    <w:tmpl w:val="57864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8013D"/>
    <w:multiLevelType w:val="hybridMultilevel"/>
    <w:tmpl w:val="4A1A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2632"/>
    <w:multiLevelType w:val="hybridMultilevel"/>
    <w:tmpl w:val="F6920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8763AF4"/>
    <w:multiLevelType w:val="hybridMultilevel"/>
    <w:tmpl w:val="C4125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86C4A"/>
    <w:multiLevelType w:val="hybridMultilevel"/>
    <w:tmpl w:val="4F86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1085A"/>
    <w:multiLevelType w:val="hybridMultilevel"/>
    <w:tmpl w:val="285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3A520E"/>
    <w:multiLevelType w:val="hybridMultilevel"/>
    <w:tmpl w:val="676E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B0534"/>
    <w:multiLevelType w:val="hybridMultilevel"/>
    <w:tmpl w:val="85F6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64BCD"/>
    <w:multiLevelType w:val="hybridMultilevel"/>
    <w:tmpl w:val="5F5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804ED1"/>
    <w:multiLevelType w:val="hybridMultilevel"/>
    <w:tmpl w:val="AB56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D1AB4"/>
    <w:multiLevelType w:val="hybridMultilevel"/>
    <w:tmpl w:val="57A019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F5511A"/>
    <w:multiLevelType w:val="hybridMultilevel"/>
    <w:tmpl w:val="3DF6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6"/>
  </w:num>
  <w:num w:numId="5">
    <w:abstractNumId w:val="3"/>
  </w:num>
  <w:num w:numId="6">
    <w:abstractNumId w:val="10"/>
  </w:num>
  <w:num w:numId="7">
    <w:abstractNumId w:val="11"/>
  </w:num>
  <w:num w:numId="8">
    <w:abstractNumId w:val="1"/>
  </w:num>
  <w:num w:numId="9">
    <w:abstractNumId w:val="16"/>
  </w:num>
  <w:num w:numId="10">
    <w:abstractNumId w:val="4"/>
  </w:num>
  <w:num w:numId="11">
    <w:abstractNumId w:val="9"/>
  </w:num>
  <w:num w:numId="12">
    <w:abstractNumId w:val="7"/>
  </w:num>
  <w:num w:numId="13">
    <w:abstractNumId w:val="12"/>
  </w:num>
  <w:num w:numId="14">
    <w:abstractNumId w:val="0"/>
  </w:num>
  <w:num w:numId="15">
    <w:abstractNumId w:val="15"/>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E9D"/>
    <w:rsid w:val="000137D8"/>
    <w:rsid w:val="00013AC0"/>
    <w:rsid w:val="00015D8C"/>
    <w:rsid w:val="000201E4"/>
    <w:rsid w:val="000204A0"/>
    <w:rsid w:val="00020DE2"/>
    <w:rsid w:val="00032E5A"/>
    <w:rsid w:val="0004347D"/>
    <w:rsid w:val="0005042C"/>
    <w:rsid w:val="000515C4"/>
    <w:rsid w:val="00052B46"/>
    <w:rsid w:val="00061C14"/>
    <w:rsid w:val="00080E9D"/>
    <w:rsid w:val="00095717"/>
    <w:rsid w:val="000A2FE1"/>
    <w:rsid w:val="000B2962"/>
    <w:rsid w:val="000B3B8F"/>
    <w:rsid w:val="000B44E7"/>
    <w:rsid w:val="000B5D6E"/>
    <w:rsid w:val="000C6B97"/>
    <w:rsid w:val="000E20B6"/>
    <w:rsid w:val="000E48DD"/>
    <w:rsid w:val="000E6A16"/>
    <w:rsid w:val="000F7D3F"/>
    <w:rsid w:val="00122B7E"/>
    <w:rsid w:val="001312AE"/>
    <w:rsid w:val="00146532"/>
    <w:rsid w:val="0015075E"/>
    <w:rsid w:val="00150820"/>
    <w:rsid w:val="0015325C"/>
    <w:rsid w:val="001536DB"/>
    <w:rsid w:val="001546A1"/>
    <w:rsid w:val="00156A86"/>
    <w:rsid w:val="001649BA"/>
    <w:rsid w:val="00165C4A"/>
    <w:rsid w:val="00181AE7"/>
    <w:rsid w:val="001911F8"/>
    <w:rsid w:val="00196AC6"/>
    <w:rsid w:val="001A552B"/>
    <w:rsid w:val="001B0CCB"/>
    <w:rsid w:val="001B19A2"/>
    <w:rsid w:val="001B52CC"/>
    <w:rsid w:val="001D325F"/>
    <w:rsid w:val="001D63EB"/>
    <w:rsid w:val="001F580A"/>
    <w:rsid w:val="002014BD"/>
    <w:rsid w:val="002019C7"/>
    <w:rsid w:val="00207551"/>
    <w:rsid w:val="00207606"/>
    <w:rsid w:val="0021017C"/>
    <w:rsid w:val="00212165"/>
    <w:rsid w:val="0022051D"/>
    <w:rsid w:val="00223DFD"/>
    <w:rsid w:val="00227B0A"/>
    <w:rsid w:val="0024335E"/>
    <w:rsid w:val="002457E6"/>
    <w:rsid w:val="00247EEF"/>
    <w:rsid w:val="00262590"/>
    <w:rsid w:val="00275B5C"/>
    <w:rsid w:val="002942DC"/>
    <w:rsid w:val="002A0B8B"/>
    <w:rsid w:val="002A4DB1"/>
    <w:rsid w:val="002A70B0"/>
    <w:rsid w:val="002B4E23"/>
    <w:rsid w:val="002D35DF"/>
    <w:rsid w:val="002E4F63"/>
    <w:rsid w:val="002F218F"/>
    <w:rsid w:val="00300476"/>
    <w:rsid w:val="00312304"/>
    <w:rsid w:val="003268EA"/>
    <w:rsid w:val="00326F8C"/>
    <w:rsid w:val="003324C9"/>
    <w:rsid w:val="00342B63"/>
    <w:rsid w:val="00371DF9"/>
    <w:rsid w:val="00384864"/>
    <w:rsid w:val="00384DEE"/>
    <w:rsid w:val="00386306"/>
    <w:rsid w:val="00395F3B"/>
    <w:rsid w:val="003973B1"/>
    <w:rsid w:val="003A4E78"/>
    <w:rsid w:val="003A5793"/>
    <w:rsid w:val="003B651B"/>
    <w:rsid w:val="003C0DEA"/>
    <w:rsid w:val="003C0E27"/>
    <w:rsid w:val="003C2C55"/>
    <w:rsid w:val="003C4F41"/>
    <w:rsid w:val="003C666F"/>
    <w:rsid w:val="003C7D88"/>
    <w:rsid w:val="003D2400"/>
    <w:rsid w:val="003E1942"/>
    <w:rsid w:val="003E30C9"/>
    <w:rsid w:val="003E32CC"/>
    <w:rsid w:val="003F5DF2"/>
    <w:rsid w:val="003F6F65"/>
    <w:rsid w:val="00407F59"/>
    <w:rsid w:val="00411872"/>
    <w:rsid w:val="004141EA"/>
    <w:rsid w:val="00423C52"/>
    <w:rsid w:val="004265DC"/>
    <w:rsid w:val="00436E65"/>
    <w:rsid w:val="00447703"/>
    <w:rsid w:val="004639D7"/>
    <w:rsid w:val="00475731"/>
    <w:rsid w:val="00493FAD"/>
    <w:rsid w:val="00495EAC"/>
    <w:rsid w:val="004A500D"/>
    <w:rsid w:val="004A6581"/>
    <w:rsid w:val="004A6980"/>
    <w:rsid w:val="004B30A6"/>
    <w:rsid w:val="004B3B12"/>
    <w:rsid w:val="004B7229"/>
    <w:rsid w:val="004B7B36"/>
    <w:rsid w:val="004C5096"/>
    <w:rsid w:val="004D5C9F"/>
    <w:rsid w:val="00501145"/>
    <w:rsid w:val="00510390"/>
    <w:rsid w:val="005141F3"/>
    <w:rsid w:val="0053255E"/>
    <w:rsid w:val="0053275B"/>
    <w:rsid w:val="00535E67"/>
    <w:rsid w:val="005545B6"/>
    <w:rsid w:val="00563E18"/>
    <w:rsid w:val="0057075C"/>
    <w:rsid w:val="00590564"/>
    <w:rsid w:val="005930F7"/>
    <w:rsid w:val="00597895"/>
    <w:rsid w:val="005A2365"/>
    <w:rsid w:val="005B3306"/>
    <w:rsid w:val="005C6687"/>
    <w:rsid w:val="005D359E"/>
    <w:rsid w:val="005D7D0F"/>
    <w:rsid w:val="005E0DBA"/>
    <w:rsid w:val="005F5A60"/>
    <w:rsid w:val="00601F1F"/>
    <w:rsid w:val="006143BD"/>
    <w:rsid w:val="00624AA2"/>
    <w:rsid w:val="00624DC6"/>
    <w:rsid w:val="006261DC"/>
    <w:rsid w:val="0062734A"/>
    <w:rsid w:val="006300FF"/>
    <w:rsid w:val="00634447"/>
    <w:rsid w:val="00641936"/>
    <w:rsid w:val="00642669"/>
    <w:rsid w:val="00642ED8"/>
    <w:rsid w:val="006456BF"/>
    <w:rsid w:val="0064606A"/>
    <w:rsid w:val="00651978"/>
    <w:rsid w:val="00651E21"/>
    <w:rsid w:val="00676477"/>
    <w:rsid w:val="00685F06"/>
    <w:rsid w:val="0069635E"/>
    <w:rsid w:val="006A1F2B"/>
    <w:rsid w:val="006A6AD9"/>
    <w:rsid w:val="006C7CA9"/>
    <w:rsid w:val="007252F6"/>
    <w:rsid w:val="00733489"/>
    <w:rsid w:val="00751E09"/>
    <w:rsid w:val="00755127"/>
    <w:rsid w:val="00757845"/>
    <w:rsid w:val="007678AB"/>
    <w:rsid w:val="00780BC0"/>
    <w:rsid w:val="007833B9"/>
    <w:rsid w:val="00790EA7"/>
    <w:rsid w:val="007A25C4"/>
    <w:rsid w:val="007A2EF3"/>
    <w:rsid w:val="007A7343"/>
    <w:rsid w:val="007B79FA"/>
    <w:rsid w:val="007B7AF9"/>
    <w:rsid w:val="007B7E3A"/>
    <w:rsid w:val="007C3F68"/>
    <w:rsid w:val="007D371D"/>
    <w:rsid w:val="007D457F"/>
    <w:rsid w:val="007E781F"/>
    <w:rsid w:val="007F0595"/>
    <w:rsid w:val="007F27CD"/>
    <w:rsid w:val="007F3573"/>
    <w:rsid w:val="00800BA8"/>
    <w:rsid w:val="00833068"/>
    <w:rsid w:val="00837FBE"/>
    <w:rsid w:val="008466E6"/>
    <w:rsid w:val="00846FDD"/>
    <w:rsid w:val="00855F19"/>
    <w:rsid w:val="00863642"/>
    <w:rsid w:val="008753FE"/>
    <w:rsid w:val="00876BB9"/>
    <w:rsid w:val="0089013D"/>
    <w:rsid w:val="008906F3"/>
    <w:rsid w:val="00894A3C"/>
    <w:rsid w:val="008A06A8"/>
    <w:rsid w:val="008A6C16"/>
    <w:rsid w:val="008C7187"/>
    <w:rsid w:val="008D1EEF"/>
    <w:rsid w:val="008D327A"/>
    <w:rsid w:val="008D7F5E"/>
    <w:rsid w:val="008E7865"/>
    <w:rsid w:val="008F0901"/>
    <w:rsid w:val="008F4AAD"/>
    <w:rsid w:val="00907794"/>
    <w:rsid w:val="00914039"/>
    <w:rsid w:val="0094110D"/>
    <w:rsid w:val="00941D9C"/>
    <w:rsid w:val="0095526F"/>
    <w:rsid w:val="00955A14"/>
    <w:rsid w:val="00973833"/>
    <w:rsid w:val="00974FE6"/>
    <w:rsid w:val="0098284A"/>
    <w:rsid w:val="00983823"/>
    <w:rsid w:val="009C4DE0"/>
    <w:rsid w:val="009C6147"/>
    <w:rsid w:val="009D0BFD"/>
    <w:rsid w:val="009E0FE4"/>
    <w:rsid w:val="009E163B"/>
    <w:rsid w:val="009E4DE2"/>
    <w:rsid w:val="009F765B"/>
    <w:rsid w:val="009F795F"/>
    <w:rsid w:val="00A03365"/>
    <w:rsid w:val="00A058C6"/>
    <w:rsid w:val="00A0718B"/>
    <w:rsid w:val="00A53A61"/>
    <w:rsid w:val="00A55C15"/>
    <w:rsid w:val="00A734F3"/>
    <w:rsid w:val="00A7489C"/>
    <w:rsid w:val="00A7588C"/>
    <w:rsid w:val="00A84D21"/>
    <w:rsid w:val="00A97318"/>
    <w:rsid w:val="00A97488"/>
    <w:rsid w:val="00AA1936"/>
    <w:rsid w:val="00AA58C2"/>
    <w:rsid w:val="00AB01E5"/>
    <w:rsid w:val="00AB0B4D"/>
    <w:rsid w:val="00AD04A2"/>
    <w:rsid w:val="00AD3F0F"/>
    <w:rsid w:val="00AD502C"/>
    <w:rsid w:val="00AE084C"/>
    <w:rsid w:val="00AF70F4"/>
    <w:rsid w:val="00B10ED6"/>
    <w:rsid w:val="00B54BE6"/>
    <w:rsid w:val="00B66BEC"/>
    <w:rsid w:val="00B7638E"/>
    <w:rsid w:val="00B835E8"/>
    <w:rsid w:val="00B84EAB"/>
    <w:rsid w:val="00BB0644"/>
    <w:rsid w:val="00BB1148"/>
    <w:rsid w:val="00BD1364"/>
    <w:rsid w:val="00BD1434"/>
    <w:rsid w:val="00BD2B47"/>
    <w:rsid w:val="00BE08EF"/>
    <w:rsid w:val="00BE6768"/>
    <w:rsid w:val="00BF5313"/>
    <w:rsid w:val="00BF622C"/>
    <w:rsid w:val="00C043CE"/>
    <w:rsid w:val="00C06E7B"/>
    <w:rsid w:val="00C208E0"/>
    <w:rsid w:val="00C20A95"/>
    <w:rsid w:val="00C2679C"/>
    <w:rsid w:val="00C30787"/>
    <w:rsid w:val="00C3241D"/>
    <w:rsid w:val="00C41CDE"/>
    <w:rsid w:val="00C44C3B"/>
    <w:rsid w:val="00C44E43"/>
    <w:rsid w:val="00C505E9"/>
    <w:rsid w:val="00C5123F"/>
    <w:rsid w:val="00C524D3"/>
    <w:rsid w:val="00C74D61"/>
    <w:rsid w:val="00C773A3"/>
    <w:rsid w:val="00C90296"/>
    <w:rsid w:val="00CA451C"/>
    <w:rsid w:val="00CB06B3"/>
    <w:rsid w:val="00CC689D"/>
    <w:rsid w:val="00D215F0"/>
    <w:rsid w:val="00D264B2"/>
    <w:rsid w:val="00D5624A"/>
    <w:rsid w:val="00D57526"/>
    <w:rsid w:val="00D6216E"/>
    <w:rsid w:val="00D73454"/>
    <w:rsid w:val="00DC4952"/>
    <w:rsid w:val="00DC4DFA"/>
    <w:rsid w:val="00DE295F"/>
    <w:rsid w:val="00DE6A0F"/>
    <w:rsid w:val="00E06DB3"/>
    <w:rsid w:val="00E102B7"/>
    <w:rsid w:val="00E341D8"/>
    <w:rsid w:val="00E36835"/>
    <w:rsid w:val="00E43AB4"/>
    <w:rsid w:val="00E755E0"/>
    <w:rsid w:val="00E80D15"/>
    <w:rsid w:val="00E876B4"/>
    <w:rsid w:val="00E96240"/>
    <w:rsid w:val="00EA2259"/>
    <w:rsid w:val="00EA529C"/>
    <w:rsid w:val="00EA671C"/>
    <w:rsid w:val="00EB155F"/>
    <w:rsid w:val="00ED16B5"/>
    <w:rsid w:val="00ED6224"/>
    <w:rsid w:val="00EF5E55"/>
    <w:rsid w:val="00F04503"/>
    <w:rsid w:val="00F13F8F"/>
    <w:rsid w:val="00F17B2B"/>
    <w:rsid w:val="00F17DA2"/>
    <w:rsid w:val="00F2296E"/>
    <w:rsid w:val="00F30915"/>
    <w:rsid w:val="00F33B67"/>
    <w:rsid w:val="00F3526C"/>
    <w:rsid w:val="00F603A0"/>
    <w:rsid w:val="00F62D42"/>
    <w:rsid w:val="00F73207"/>
    <w:rsid w:val="00F86A8E"/>
    <w:rsid w:val="00FB10BF"/>
    <w:rsid w:val="00FC19B0"/>
    <w:rsid w:val="00FC50F9"/>
    <w:rsid w:val="00FD0D22"/>
    <w:rsid w:val="00FD3931"/>
    <w:rsid w:val="00FD3DF3"/>
    <w:rsid w:val="00FD75F6"/>
    <w:rsid w:val="00FE1814"/>
    <w:rsid w:val="00FE33CA"/>
    <w:rsid w:val="00FF0573"/>
    <w:rsid w:val="00FF429D"/>
    <w:rsid w:val="00FF5E22"/>
    <w:rsid w:val="00FF5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B466"/>
  <w15:docId w15:val="{EAC5D550-384D-704B-AD34-07195C2B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9D"/>
    <w:rPr>
      <w:rFonts w:ascii="Tahoma" w:hAnsi="Tahoma" w:cs="Tahoma"/>
      <w:sz w:val="16"/>
      <w:szCs w:val="16"/>
    </w:rPr>
  </w:style>
  <w:style w:type="character" w:customStyle="1" w:styleId="BalloonTextChar">
    <w:name w:val="Balloon Text Char"/>
    <w:basedOn w:val="DefaultParagraphFont"/>
    <w:link w:val="BalloonText"/>
    <w:uiPriority w:val="99"/>
    <w:semiHidden/>
    <w:rsid w:val="00080E9D"/>
    <w:rPr>
      <w:rFonts w:ascii="Tahoma" w:hAnsi="Tahoma" w:cs="Tahoma"/>
      <w:sz w:val="16"/>
      <w:szCs w:val="16"/>
    </w:rPr>
  </w:style>
  <w:style w:type="table" w:styleId="TableGrid">
    <w:name w:val="Table Grid"/>
    <w:basedOn w:val="TableNormal"/>
    <w:uiPriority w:val="59"/>
    <w:rsid w:val="00080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3F68"/>
    <w:rPr>
      <w:color w:val="0000FF"/>
      <w:u w:val="single"/>
    </w:rPr>
  </w:style>
  <w:style w:type="paragraph" w:styleId="ListParagraph">
    <w:name w:val="List Paragraph"/>
    <w:basedOn w:val="Normal"/>
    <w:uiPriority w:val="34"/>
    <w:qFormat/>
    <w:rsid w:val="001D325F"/>
    <w:pPr>
      <w:spacing w:after="160" w:line="259"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unhideWhenUsed/>
    <w:rsid w:val="001D325F"/>
    <w:rPr>
      <w:vertAlign w:val="superscript"/>
    </w:rPr>
  </w:style>
  <w:style w:type="paragraph" w:styleId="Header">
    <w:name w:val="header"/>
    <w:basedOn w:val="Normal"/>
    <w:link w:val="HeaderChar"/>
    <w:uiPriority w:val="99"/>
    <w:unhideWhenUsed/>
    <w:rsid w:val="001D325F"/>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1D325F"/>
  </w:style>
  <w:style w:type="paragraph" w:styleId="Footer">
    <w:name w:val="footer"/>
    <w:basedOn w:val="Normal"/>
    <w:link w:val="FooterChar"/>
    <w:uiPriority w:val="99"/>
    <w:unhideWhenUsed/>
    <w:rsid w:val="001D325F"/>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1D325F"/>
  </w:style>
  <w:style w:type="paragraph" w:customStyle="1" w:styleId="Default">
    <w:name w:val="Default"/>
    <w:rsid w:val="00E80D1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27B0A"/>
    <w:pPr>
      <w:spacing w:after="0" w:line="240" w:lineRule="auto"/>
    </w:pPr>
  </w:style>
  <w:style w:type="paragraph" w:styleId="NormalWeb">
    <w:name w:val="Normal (Web)"/>
    <w:basedOn w:val="Normal"/>
    <w:uiPriority w:val="99"/>
    <w:unhideWhenUsed/>
    <w:rsid w:val="004639D7"/>
  </w:style>
  <w:style w:type="character" w:styleId="CommentReference">
    <w:name w:val="annotation reference"/>
    <w:basedOn w:val="DefaultParagraphFont"/>
    <w:uiPriority w:val="99"/>
    <w:semiHidden/>
    <w:unhideWhenUsed/>
    <w:rsid w:val="008906F3"/>
    <w:rPr>
      <w:sz w:val="16"/>
      <w:szCs w:val="16"/>
    </w:rPr>
  </w:style>
  <w:style w:type="paragraph" w:styleId="CommentText">
    <w:name w:val="annotation text"/>
    <w:basedOn w:val="Normal"/>
    <w:link w:val="CommentTextChar"/>
    <w:uiPriority w:val="99"/>
    <w:semiHidden/>
    <w:unhideWhenUsed/>
    <w:rsid w:val="008906F3"/>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906F3"/>
    <w:rPr>
      <w:sz w:val="20"/>
      <w:szCs w:val="20"/>
    </w:rPr>
  </w:style>
  <w:style w:type="paragraph" w:styleId="CommentSubject">
    <w:name w:val="annotation subject"/>
    <w:basedOn w:val="CommentText"/>
    <w:next w:val="CommentText"/>
    <w:link w:val="CommentSubjectChar"/>
    <w:uiPriority w:val="99"/>
    <w:semiHidden/>
    <w:unhideWhenUsed/>
    <w:rsid w:val="008906F3"/>
    <w:rPr>
      <w:b/>
      <w:bCs/>
    </w:rPr>
  </w:style>
  <w:style w:type="character" w:customStyle="1" w:styleId="CommentSubjectChar">
    <w:name w:val="Comment Subject Char"/>
    <w:basedOn w:val="CommentTextChar"/>
    <w:link w:val="CommentSubject"/>
    <w:uiPriority w:val="99"/>
    <w:semiHidden/>
    <w:rsid w:val="008906F3"/>
    <w:rPr>
      <w:b/>
      <w:bCs/>
      <w:sz w:val="20"/>
      <w:szCs w:val="20"/>
    </w:rPr>
  </w:style>
  <w:style w:type="character" w:customStyle="1" w:styleId="UnresolvedMention1">
    <w:name w:val="Unresolved Mention1"/>
    <w:basedOn w:val="DefaultParagraphFont"/>
    <w:uiPriority w:val="99"/>
    <w:semiHidden/>
    <w:unhideWhenUsed/>
    <w:rsid w:val="00BF5313"/>
    <w:rPr>
      <w:color w:val="605E5C"/>
      <w:shd w:val="clear" w:color="auto" w:fill="E1DFDD"/>
    </w:rPr>
  </w:style>
  <w:style w:type="paragraph" w:styleId="FootnoteText">
    <w:name w:val="footnote text"/>
    <w:aliases w:val="FOOTNOTES"/>
    <w:basedOn w:val="Normal"/>
    <w:link w:val="FootnoteTextChar"/>
    <w:uiPriority w:val="99"/>
    <w:unhideWhenUsed/>
    <w:rsid w:val="00156A86"/>
    <w:rPr>
      <w:rFonts w:asciiTheme="minorHAnsi" w:eastAsiaTheme="minorHAnsi" w:hAnsiTheme="minorHAnsi" w:cstheme="minorBidi"/>
      <w:sz w:val="20"/>
      <w:szCs w:val="20"/>
      <w:lang w:eastAsia="en-US"/>
    </w:rPr>
  </w:style>
  <w:style w:type="character" w:customStyle="1" w:styleId="FootnoteTextChar">
    <w:name w:val="Footnote Text Char"/>
    <w:aliases w:val="FOOTNOTES Char"/>
    <w:basedOn w:val="DefaultParagraphFont"/>
    <w:link w:val="FootnoteText"/>
    <w:uiPriority w:val="99"/>
    <w:rsid w:val="00156A86"/>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94701">
      <w:bodyDiv w:val="1"/>
      <w:marLeft w:val="0"/>
      <w:marRight w:val="0"/>
      <w:marTop w:val="0"/>
      <w:marBottom w:val="0"/>
      <w:divBdr>
        <w:top w:val="none" w:sz="0" w:space="0" w:color="auto"/>
        <w:left w:val="none" w:sz="0" w:space="0" w:color="auto"/>
        <w:bottom w:val="none" w:sz="0" w:space="0" w:color="auto"/>
        <w:right w:val="none" w:sz="0" w:space="0" w:color="auto"/>
      </w:divBdr>
    </w:div>
    <w:div w:id="20093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344/9543" TargetMode="External"/><Relationship Id="rId13" Type="http://schemas.openxmlformats.org/officeDocument/2006/relationships/hyperlink" Target="mailto:Kevin.Mulligan@ul.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a.Lenihan@ul.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Jiao</dc:creator>
  <cp:lastModifiedBy>Helena.Lenihan</cp:lastModifiedBy>
  <cp:revision>5</cp:revision>
  <cp:lastPrinted>2020-11-03T20:55:00Z</cp:lastPrinted>
  <dcterms:created xsi:type="dcterms:W3CDTF">2021-01-07T11:53:00Z</dcterms:created>
  <dcterms:modified xsi:type="dcterms:W3CDTF">2021-01-07T12:11:00Z</dcterms:modified>
</cp:coreProperties>
</file>