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4FC" w14:textId="523192EE" w:rsidR="00D35707" w:rsidRDefault="00D35707" w:rsidP="00D35707">
      <w:pPr>
        <w:jc w:val="center"/>
        <w:rPr>
          <w:rFonts w:ascii="Aptos" w:eastAsia="Times New Roman" w:hAnsi="Aptos"/>
          <w:i/>
          <w:iCs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noProof/>
          <w:color w:val="000000"/>
          <w:sz w:val="24"/>
          <w:szCs w:val="24"/>
          <w14:ligatures w14:val="none"/>
        </w:rPr>
        <w:drawing>
          <wp:inline distT="0" distB="0" distL="0" distR="0" wp14:anchorId="7ED4D68B" wp14:editId="70C2ED7F">
            <wp:extent cx="1771650" cy="71973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70" cy="72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6F4"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          </w:t>
      </w:r>
    </w:p>
    <w:p w14:paraId="40CF08B1" w14:textId="048299D7" w:rsidR="00B741FD" w:rsidRDefault="00B741FD" w:rsidP="00B741FD">
      <w:pPr>
        <w:jc w:val="center"/>
        <w:rPr>
          <w:rFonts w:ascii="Aptos" w:eastAsia="Times New Roman" w:hAnsi="Aptos"/>
          <w:b/>
          <w:bCs/>
          <w:color w:val="000000"/>
          <w:sz w:val="28"/>
          <w:szCs w:val="28"/>
        </w:rPr>
      </w:pPr>
      <w:r>
        <w:rPr>
          <w:rFonts w:ascii="Aptos" w:eastAsia="Times New Roman" w:hAnsi="Aptos"/>
          <w:b/>
          <w:bCs/>
          <w:color w:val="000000"/>
          <w:sz w:val="28"/>
          <w:szCs w:val="28"/>
        </w:rPr>
        <w:t xml:space="preserve">+++ EMBARGOED until </w:t>
      </w:r>
      <w:r w:rsidRPr="00B741FD">
        <w:rPr>
          <w:rFonts w:ascii="Aptos" w:eastAsia="Times New Roman" w:hAnsi="Aptos"/>
          <w:b/>
          <w:bCs/>
          <w:color w:val="000000"/>
          <w:sz w:val="28"/>
          <w:szCs w:val="28"/>
        </w:rPr>
        <w:t>00:01 GMT Tuesday, 25th March</w:t>
      </w:r>
      <w:r>
        <w:rPr>
          <w:rFonts w:ascii="Aptos" w:eastAsia="Times New Roman" w:hAnsi="Aptos"/>
          <w:b/>
          <w:bCs/>
          <w:color w:val="000000"/>
          <w:sz w:val="28"/>
          <w:szCs w:val="28"/>
        </w:rPr>
        <w:t xml:space="preserve"> +++</w:t>
      </w:r>
    </w:p>
    <w:p w14:paraId="21547CFD" w14:textId="77777777" w:rsidR="00B741FD" w:rsidRDefault="00B741FD" w:rsidP="00B741FD">
      <w:pPr>
        <w:jc w:val="center"/>
        <w:rPr>
          <w:rFonts w:ascii="Aptos" w:eastAsia="Times New Roman" w:hAnsi="Aptos"/>
          <w:b/>
          <w:bCs/>
          <w:color w:val="000000"/>
          <w:sz w:val="28"/>
          <w:szCs w:val="28"/>
        </w:rPr>
      </w:pPr>
    </w:p>
    <w:p w14:paraId="29A59198" w14:textId="2EDF39F0" w:rsidR="00035705" w:rsidRPr="004D321E" w:rsidRDefault="005A74EB" w:rsidP="000535D9">
      <w:pPr>
        <w:jc w:val="center"/>
        <w:rPr>
          <w:rFonts w:ascii="Aptos" w:eastAsia="Times New Roman" w:hAnsi="Aptos"/>
          <w:b/>
          <w:bCs/>
          <w:color w:val="000000"/>
          <w:sz w:val="28"/>
          <w:szCs w:val="28"/>
        </w:rPr>
      </w:pPr>
      <w:r>
        <w:rPr>
          <w:rFonts w:ascii="Aptos" w:eastAsia="Times New Roman" w:hAnsi="Aptos"/>
          <w:b/>
          <w:bCs/>
          <w:color w:val="000000"/>
          <w:sz w:val="28"/>
          <w:szCs w:val="28"/>
        </w:rPr>
        <w:t>Business growth continues to falter as j</w:t>
      </w:r>
      <w:r w:rsidR="000535D9">
        <w:rPr>
          <w:rFonts w:ascii="Aptos" w:eastAsia="Times New Roman" w:hAnsi="Aptos"/>
          <w:b/>
          <w:bCs/>
          <w:color w:val="000000"/>
          <w:sz w:val="28"/>
          <w:szCs w:val="28"/>
        </w:rPr>
        <w:t xml:space="preserve">ust 2% of UK start-ups </w:t>
      </w:r>
      <w:r>
        <w:rPr>
          <w:rFonts w:ascii="Aptos" w:eastAsia="Times New Roman" w:hAnsi="Aptos"/>
          <w:b/>
          <w:bCs/>
          <w:color w:val="000000"/>
          <w:sz w:val="28"/>
          <w:szCs w:val="28"/>
        </w:rPr>
        <w:t>reach</w:t>
      </w:r>
      <w:r w:rsidR="000535D9">
        <w:rPr>
          <w:rFonts w:ascii="Aptos" w:eastAsia="Times New Roman" w:hAnsi="Aptos"/>
          <w:b/>
          <w:bCs/>
          <w:color w:val="000000"/>
          <w:sz w:val="28"/>
          <w:szCs w:val="28"/>
        </w:rPr>
        <w:t xml:space="preserve"> £1m turnover since 2020</w:t>
      </w:r>
    </w:p>
    <w:p w14:paraId="0F16D295" w14:textId="366C2DD4" w:rsidR="004D321E" w:rsidRDefault="00CE2F7B" w:rsidP="004D321E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Small business growth</w:t>
      </w:r>
      <w:r w:rsidR="00A93F4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 the UK</w:t>
      </w:r>
      <w:r w:rsidR="007130D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has continued to decline since the pandemic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and urgent action is needed if the Government is to meet its </w:t>
      </w:r>
      <w:r w:rsidR="00721D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ambitions</w:t>
      </w:r>
      <w:r w:rsidR="003E7B5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boost growth</w:t>
      </w:r>
      <w:r w:rsidR="00721D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="006F1C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 new report by the Enterprise Research Centre </w:t>
      </w:r>
      <w:r w:rsidR="006016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(ERC) </w:t>
      </w:r>
      <w:r w:rsidR="006F1C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reveals.</w:t>
      </w:r>
    </w:p>
    <w:p w14:paraId="71030F5A" w14:textId="1B2C86F4" w:rsidR="00D02B14" w:rsidRDefault="000C4143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According to the </w:t>
      </w:r>
      <w:r w:rsidR="006016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ERC’s latest </w:t>
      </w:r>
      <w:r w:rsidR="006016D8" w:rsidRPr="000652E9">
        <w:rPr>
          <w:rFonts w:ascii="Calibri" w:eastAsia="Times New Roman" w:hAnsi="Calibri" w:cs="Calibri"/>
          <w:i/>
          <w:color w:val="000000"/>
          <w:kern w:val="0"/>
          <w:lang w:eastAsia="en-GB"/>
          <w14:ligatures w14:val="none"/>
        </w:rPr>
        <w:t>State of Small Business</w:t>
      </w:r>
      <w:r w:rsidR="006016D8">
        <w:rPr>
          <w:rFonts w:ascii="Calibri" w:eastAsia="Times New Roman" w:hAnsi="Calibri" w:cs="Calibri"/>
          <w:i/>
          <w:color w:val="000000"/>
          <w:kern w:val="0"/>
          <w:lang w:eastAsia="en-GB"/>
          <w14:ligatures w14:val="none"/>
        </w:rPr>
        <w:t xml:space="preserve"> Britain</w:t>
      </w:r>
      <w:r w:rsidR="006016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report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="004D321E">
        <w:rPr>
          <w:rFonts w:eastAsia="Times New Roman"/>
          <w:color w:val="000000"/>
        </w:rPr>
        <w:t>t</w:t>
      </w:r>
      <w:r w:rsidR="004D321E" w:rsidRPr="004D321E">
        <w:rPr>
          <w:rFonts w:eastAsia="Times New Roman"/>
          <w:color w:val="000000"/>
        </w:rPr>
        <w:t>here are 400,000 more established SMEs</w:t>
      </w:r>
      <w:r w:rsidR="00721D11">
        <w:rPr>
          <w:rFonts w:eastAsia="Times New Roman"/>
          <w:color w:val="000000"/>
        </w:rPr>
        <w:t xml:space="preserve"> in the UK</w:t>
      </w:r>
      <w:r w:rsidR="004D321E" w:rsidRPr="004D321E">
        <w:rPr>
          <w:rFonts w:eastAsia="Times New Roman"/>
          <w:color w:val="000000"/>
        </w:rPr>
        <w:t xml:space="preserve"> since 2010, </w:t>
      </w:r>
      <w:r>
        <w:rPr>
          <w:rFonts w:eastAsia="Times New Roman"/>
          <w:color w:val="000000"/>
        </w:rPr>
        <w:t xml:space="preserve">but </w:t>
      </w:r>
      <w:r w:rsidR="004D321E" w:rsidRPr="004D321E">
        <w:rPr>
          <w:rFonts w:eastAsia="Times New Roman"/>
          <w:color w:val="000000"/>
        </w:rPr>
        <w:t xml:space="preserve">the proportion registering </w:t>
      </w:r>
      <w:r w:rsidR="004D321E">
        <w:rPr>
          <w:rFonts w:eastAsia="Times New Roman"/>
          <w:color w:val="000000"/>
        </w:rPr>
        <w:t>any</w:t>
      </w:r>
      <w:r w:rsidR="004D321E" w:rsidRPr="004D321E">
        <w:rPr>
          <w:rFonts w:eastAsia="Times New Roman"/>
          <w:color w:val="000000"/>
        </w:rPr>
        <w:t xml:space="preserve"> employment growth</w:t>
      </w:r>
      <w:r w:rsidR="005A74EB">
        <w:rPr>
          <w:rFonts w:eastAsia="Times New Roman"/>
          <w:color w:val="000000"/>
        </w:rPr>
        <w:t xml:space="preserve"> fell</w:t>
      </w:r>
      <w:r w:rsidR="004D321E">
        <w:rPr>
          <w:rFonts w:eastAsia="Times New Roman"/>
          <w:color w:val="000000"/>
        </w:rPr>
        <w:t xml:space="preserve"> </w:t>
      </w:r>
      <w:r w:rsidR="004D321E" w:rsidRPr="004D321E">
        <w:rPr>
          <w:rFonts w:eastAsia="Times New Roman"/>
          <w:color w:val="000000"/>
        </w:rPr>
        <w:t>from 20% to 13%</w:t>
      </w:r>
      <w:r w:rsidR="005A74E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between 2020 and 2023.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535061A7" w14:textId="7FF02282" w:rsidR="000C4143" w:rsidRPr="000C4143" w:rsidRDefault="000C4143" w:rsidP="000C4143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Although the UK </w:t>
      </w:r>
      <w:r w:rsidR="006016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produces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 healthy number of start-ups each year, most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do not survive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longer term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Only 47% of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325,811 start-ups registered in 2020 survived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for 3 years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The 10-year survival rate</w:t>
      </w:r>
      <w:r w:rsidR="00994B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for start-ups is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just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10%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4DBF1DBB" w14:textId="02D3C18F" w:rsidR="000C4143" w:rsidRPr="000C4143" w:rsidRDefault="000C4143" w:rsidP="000C4143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analysis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also shows that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only a minority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of 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these start-ups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experience high growth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Just</w:t>
      </w:r>
      <w:r w:rsidRPr="000C41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2% of surviving start-ups registered in 2020 managed to achieve £1m turnover after 3 years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an oft-cited ambition of many new entrepreneurs</w:t>
      </w:r>
      <w:r w:rsidR="00994B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994B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</w:t>
      </w:r>
      <w:r w:rsidR="0012399B" w:rsidRP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aving got to</w:t>
      </w:r>
      <w:r w:rsidR="00BC1A2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</w:t>
      </w:r>
      <w:r w:rsidR="0012399B" w:rsidRP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£1m turnover</w:t>
      </w:r>
      <w:r w:rsidR="00BC1A2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</w:t>
      </w:r>
      <w:r w:rsidR="0012399B" w:rsidRP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only 7% of </w:t>
      </w:r>
      <w:r w:rsidR="0012399B" w:rsidRP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established firms over 3 years of age then ‘step up’ and continue on a growth trajectory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record </w:t>
      </w:r>
      <w:r w:rsidR="006016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more than a 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£3m turnover.</w:t>
      </w:r>
      <w:r w:rsidR="0012399B" w:rsidRP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</w:p>
    <w:p w14:paraId="57F630F1" w14:textId="3C5BA5A7" w:rsidR="000652E9" w:rsidRDefault="000652E9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</w:t>
      </w:r>
      <w:r w:rsidR="00D02B1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report also warns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that 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there has been a marked decline in the </w:t>
      </w:r>
      <w:r w:rsidR="00721D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support environment for small businesses 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due to a lack of </w:t>
      </w:r>
      <w:r w:rsidR="00721D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consistent investment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over time.</w:t>
      </w:r>
    </w:p>
    <w:p w14:paraId="62EF11A0" w14:textId="6C5E741A" w:rsidR="000652E9" w:rsidRDefault="000652E9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scale of the challenge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06439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revealed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 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ERC’s </w:t>
      </w:r>
      <w:r w:rsidR="006016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annual </w:t>
      </w:r>
      <w:r w:rsidRPr="000652E9">
        <w:rPr>
          <w:rFonts w:ascii="Calibri" w:eastAsia="Times New Roman" w:hAnsi="Calibri" w:cs="Calibri"/>
          <w:i/>
          <w:color w:val="000000"/>
          <w:kern w:val="0"/>
          <w:lang w:eastAsia="en-GB"/>
          <w14:ligatures w14:val="none"/>
        </w:rPr>
        <w:t>State of Small Business</w:t>
      </w:r>
      <w:r w:rsidR="00B963A1">
        <w:rPr>
          <w:rFonts w:ascii="Calibri" w:eastAsia="Times New Roman" w:hAnsi="Calibri" w:cs="Calibri"/>
          <w:i/>
          <w:color w:val="000000"/>
          <w:kern w:val="0"/>
          <w:lang w:eastAsia="en-GB"/>
          <w14:ligatures w14:val="none"/>
        </w:rPr>
        <w:t xml:space="preserve"> Britain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report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08842229" w14:textId="18F83AF2" w:rsidR="000652E9" w:rsidRDefault="0006439F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Stephen Roper, Director of the E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RC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Professor of Enterprise at Warwick Business School, said: “Small businesses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are the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engines of 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UK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economy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mak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ing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up more than 99 per cent of 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businesses</w:t>
      </w:r>
      <w:r w:rsidR="006016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 the UK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5951E75F" w14:textId="0FB8B7F8" w:rsidR="0006439F" w:rsidRDefault="0006439F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“</w:t>
      </w:r>
      <w:r w:rsidR="00E019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ut 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they have faced tough times in</w:t>
      </w:r>
      <w:r w:rsid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recent years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dealing with 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multiple challenges including substantial cost rises, a global pandemic and continu</w:t>
      </w:r>
      <w:r w:rsidR="00897CE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ing</w:t>
      </w:r>
      <w:r w:rsid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economic uncertainty.</w:t>
      </w:r>
    </w:p>
    <w:p w14:paraId="68EA20C3" w14:textId="77777777" w:rsidR="00A36D92" w:rsidRDefault="00E019D8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“Although </w:t>
      </w:r>
      <w:r w:rsidR="00721D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many </w:t>
      </w:r>
      <w:r w:rsidR="005E48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small businesses</w:t>
      </w:r>
      <w:r w:rsidRPr="00E019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721D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have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show</w:t>
      </w:r>
      <w:r w:rsidR="00721D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</w:t>
      </w:r>
      <w:r w:rsidRPr="00E019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remarkable resilience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these conditions have undoubtedly had an impact on business behaviour, and the evidence shows some </w:t>
      </w:r>
      <w:r w:rsidR="00897CE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concerning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trends</w:t>
      </w:r>
      <w:r w:rsidR="00A36D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47897ABE" w14:textId="2011276D" w:rsidR="00C549E1" w:rsidRDefault="00A36D92" w:rsidP="00C549E1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“One worrying trend is a </w:t>
      </w:r>
      <w:r w:rsidR="00E019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marked decline in innovation activity.</w:t>
      </w:r>
      <w:r w:rsidR="00C549E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Given the important role innovation plays in business growth, it is crucial that this is addressed.</w:t>
      </w:r>
      <w:r w:rsidR="00931DE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4D224562" w14:textId="5F09D4F5" w:rsidR="00AA33C8" w:rsidRDefault="00AA33C8" w:rsidP="00C549E1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“But we know that 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innovation requires investment, and that if we want small businesses to invest, we need to raise </w:t>
      </w:r>
      <w:r w:rsidR="00121007" w:rsidRP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business confidence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.”</w:t>
      </w:r>
    </w:p>
    <w:p w14:paraId="79AEBDCB" w14:textId="64908EF9" w:rsidR="008A0F41" w:rsidRPr="00D02B14" w:rsidRDefault="00C549E1" w:rsidP="00D02B14">
      <w:p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Other k</w:t>
      </w:r>
      <w:r w:rsidR="0067009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ey </w:t>
      </w:r>
      <w:r w:rsidR="003040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trends 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highlighted </w:t>
      </w:r>
      <w:r w:rsidR="0030401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the report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67009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include:</w:t>
      </w:r>
    </w:p>
    <w:p w14:paraId="0A2CDD5A" w14:textId="700CB65E" w:rsidR="004D321E" w:rsidRDefault="00C549E1" w:rsidP="00C549E1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/>
          <w:color w:val="000000"/>
        </w:rPr>
      </w:pPr>
      <w:r w:rsidRPr="00C549E1">
        <w:rPr>
          <w:rFonts w:eastAsia="Times New Roman"/>
          <w:color w:val="000000"/>
        </w:rPr>
        <w:t>Top concerns for SMEs last year</w:t>
      </w:r>
      <w:r w:rsidR="00304011">
        <w:rPr>
          <w:rFonts w:eastAsia="Times New Roman"/>
          <w:color w:val="000000"/>
        </w:rPr>
        <w:t xml:space="preserve"> included </w:t>
      </w:r>
      <w:r w:rsidRPr="00C549E1">
        <w:rPr>
          <w:rFonts w:eastAsia="Times New Roman"/>
          <w:color w:val="000000"/>
        </w:rPr>
        <w:t>the cost of labour and materials, wider economic uncertainty, and increased competition</w:t>
      </w:r>
      <w:r w:rsidR="00304011">
        <w:rPr>
          <w:rFonts w:eastAsia="Times New Roman"/>
          <w:color w:val="000000"/>
        </w:rPr>
        <w:t>.</w:t>
      </w:r>
    </w:p>
    <w:p w14:paraId="32BD35DA" w14:textId="18C9D2BB" w:rsidR="00AA33C8" w:rsidRDefault="00AA33C8" w:rsidP="00C549E1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According to official data, </w:t>
      </w:r>
      <w:r w:rsidRPr="00AA33C8">
        <w:rPr>
          <w:rFonts w:eastAsia="Times New Roman"/>
          <w:color w:val="000000"/>
        </w:rPr>
        <w:t>36% of firms were innovating in 2020-2022 compared to 45% in 2018-2020</w:t>
      </w:r>
      <w:r>
        <w:rPr>
          <w:rFonts w:eastAsia="Times New Roman"/>
          <w:color w:val="000000"/>
        </w:rPr>
        <w:t>.</w:t>
      </w:r>
    </w:p>
    <w:p w14:paraId="11A61578" w14:textId="66B152D1" w:rsidR="00AA33C8" w:rsidRDefault="00AA33C8" w:rsidP="00C549E1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/>
          <w:color w:val="000000"/>
        </w:rPr>
      </w:pPr>
      <w:r w:rsidRPr="00AA33C8">
        <w:rPr>
          <w:rFonts w:eastAsia="Times New Roman"/>
          <w:color w:val="000000"/>
        </w:rPr>
        <w:lastRenderedPageBreak/>
        <w:t xml:space="preserve">The after-effects of the pandemic and </w:t>
      </w:r>
      <w:r>
        <w:rPr>
          <w:rFonts w:eastAsia="Times New Roman"/>
          <w:color w:val="000000"/>
        </w:rPr>
        <w:t xml:space="preserve">business costs </w:t>
      </w:r>
      <w:r w:rsidRPr="00AA33C8">
        <w:rPr>
          <w:rFonts w:eastAsia="Times New Roman"/>
          <w:color w:val="000000"/>
        </w:rPr>
        <w:t>were the most commonly cited barriers to innovation</w:t>
      </w:r>
      <w:r>
        <w:rPr>
          <w:rFonts w:eastAsia="Times New Roman"/>
          <w:color w:val="000000"/>
        </w:rPr>
        <w:t>.</w:t>
      </w:r>
    </w:p>
    <w:p w14:paraId="69CDC362" w14:textId="02FEDC13" w:rsidR="00304011" w:rsidRDefault="00304011" w:rsidP="00C549E1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Employee m</w:t>
      </w:r>
      <w:r w:rsidRPr="00304011">
        <w:rPr>
          <w:rFonts w:eastAsia="Times New Roman"/>
          <w:color w:val="000000"/>
        </w:rPr>
        <w:t xml:space="preserve">ental health </w:t>
      </w:r>
      <w:r w:rsidR="00AA33C8">
        <w:rPr>
          <w:rFonts w:eastAsia="Times New Roman"/>
          <w:color w:val="000000"/>
        </w:rPr>
        <w:t xml:space="preserve">continues to have a marked impact, </w:t>
      </w:r>
      <w:r>
        <w:rPr>
          <w:rFonts w:eastAsia="Times New Roman"/>
          <w:color w:val="000000"/>
        </w:rPr>
        <w:t xml:space="preserve">but smaller businesses are significantly less likely to </w:t>
      </w:r>
      <w:r w:rsidR="00AA33C8">
        <w:rPr>
          <w:rFonts w:eastAsia="Times New Roman"/>
          <w:color w:val="000000"/>
        </w:rPr>
        <w:t>take</w:t>
      </w:r>
      <w:r>
        <w:rPr>
          <w:rFonts w:eastAsia="Times New Roman"/>
          <w:color w:val="000000"/>
        </w:rPr>
        <w:t xml:space="preserve"> action to address </w:t>
      </w:r>
      <w:r w:rsidR="00AA33C8">
        <w:rPr>
          <w:rFonts w:eastAsia="Times New Roman"/>
          <w:color w:val="000000"/>
        </w:rPr>
        <w:t>it.</w:t>
      </w:r>
    </w:p>
    <w:p w14:paraId="102D6981" w14:textId="2CC4AAB9" w:rsidR="00C549E1" w:rsidRPr="00C549E1" w:rsidRDefault="00304011" w:rsidP="00C549E1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Expert ratings </w:t>
      </w:r>
      <w:r w:rsidR="00BC1A23" w:rsidRPr="00BC1A23">
        <w:rPr>
          <w:rFonts w:eastAsia="Times New Roman"/>
          <w:color w:val="000000"/>
        </w:rPr>
        <w:t xml:space="preserve">of the UK’s entrepreneurial environment </w:t>
      </w:r>
      <w:r w:rsidR="00BC1A23">
        <w:rPr>
          <w:rFonts w:eastAsia="Times New Roman"/>
          <w:color w:val="000000"/>
        </w:rPr>
        <w:t xml:space="preserve">collected as part of the Global Entrepreneurship Monitor Survey </w:t>
      </w:r>
      <w:r>
        <w:rPr>
          <w:rFonts w:eastAsia="Times New Roman"/>
          <w:color w:val="000000"/>
        </w:rPr>
        <w:t xml:space="preserve">have </w:t>
      </w:r>
      <w:r w:rsidR="00C549E1" w:rsidRPr="00C549E1">
        <w:rPr>
          <w:rFonts w:eastAsia="Times New Roman"/>
          <w:color w:val="000000"/>
        </w:rPr>
        <w:t>slip</w:t>
      </w:r>
      <w:r>
        <w:rPr>
          <w:rFonts w:eastAsia="Times New Roman"/>
          <w:color w:val="000000"/>
        </w:rPr>
        <w:t>ped</w:t>
      </w:r>
      <w:r w:rsidR="00C549E1" w:rsidRPr="00C549E1">
        <w:rPr>
          <w:rFonts w:eastAsia="Times New Roman"/>
          <w:color w:val="000000"/>
        </w:rPr>
        <w:t xml:space="preserve"> from being rated ‘sufficient’ to ‘less than sufficient’</w:t>
      </w:r>
      <w:r>
        <w:rPr>
          <w:rFonts w:eastAsia="Times New Roman"/>
          <w:color w:val="000000"/>
        </w:rPr>
        <w:t>.</w:t>
      </w:r>
    </w:p>
    <w:p w14:paraId="2EFDFD25" w14:textId="76C9959A" w:rsidR="005E48D5" w:rsidRDefault="00C42894" w:rsidP="004D321E">
      <w:pPr>
        <w:shd w:val="clear" w:color="auto" w:fill="FFFFFF"/>
        <w:spacing w:after="120" w:line="240" w:lineRule="auto"/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Mark </w:t>
      </w:r>
      <w:r w:rsidR="00CE460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Hart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</w:t>
      </w:r>
      <w:r w:rsidR="00CE460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Deputy Director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of the 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ERC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Professor of 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Entrepreneurship and Enterprise Policy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at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Warwick Business School</w:t>
      </w:r>
      <w:r w:rsidR="003E7B5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said: “</w:t>
      </w:r>
      <w:r w:rsidR="004D321E" w:rsidRPr="004D32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 lack of sustained growth amongst SMEs in the UK remains a key problem</w:t>
      </w:r>
      <w:r w:rsidR="005E48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that 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</w:t>
      </w:r>
      <w:r w:rsidR="005E48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Government’s 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forthcoming Small Business Strategy and the associated Business Growth Service (BGS)</w:t>
      </w:r>
      <w:r w:rsidR="007D6F05" w:rsidRPr="007D6F05">
        <w:t xml:space="preserve"> </w:t>
      </w:r>
      <w:r w:rsidR="005E48D5">
        <w:t>must address.</w:t>
      </w:r>
    </w:p>
    <w:p w14:paraId="04F807C5" w14:textId="2A04544B" w:rsidR="00931DE5" w:rsidRDefault="005E48D5" w:rsidP="004D321E">
      <w:pPr>
        <w:shd w:val="clear" w:color="auto" w:fill="FFFFFF"/>
        <w:spacing w:after="120" w:line="240" w:lineRule="auto"/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“It is vital that 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foundation of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this new service is informed by robust 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research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evidence</w:t>
      </w:r>
      <w:r w:rsidR="00931DE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as well 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as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by insights from the</w:t>
      </w:r>
      <w:r w:rsidR="00931DE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D10EC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experiences</w:t>
      </w:r>
      <w:r w:rsidR="00931DE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of small business leaders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themselves</w:t>
      </w:r>
      <w:r w:rsidR="00AA33C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31DA66D4" w14:textId="0B6B7130" w:rsidR="00AA33C8" w:rsidRDefault="00AA33C8" w:rsidP="004D321E">
      <w:pPr>
        <w:shd w:val="clear" w:color="auto" w:fill="FFFFFF"/>
        <w:spacing w:after="120" w:line="240" w:lineRule="auto"/>
      </w:pPr>
      <w:r>
        <w:t xml:space="preserve">“The UK has a </w:t>
      </w:r>
      <w:r w:rsidR="00931DE5" w:rsidRPr="00931DE5">
        <w:t xml:space="preserve">diverse population of small businesses, </w:t>
      </w:r>
      <w:r>
        <w:t>and support needs to be focused on</w:t>
      </w:r>
      <w:r w:rsidR="00931DE5" w:rsidRPr="00931DE5">
        <w:t xml:space="preserve"> enabling more of them to be able to tackle </w:t>
      </w:r>
      <w:r>
        <w:t>the issues they</w:t>
      </w:r>
      <w:r w:rsidR="00931DE5" w:rsidRPr="00931DE5">
        <w:t xml:space="preserve"> face at different points of </w:t>
      </w:r>
      <w:r>
        <w:t>the business lifecycle.</w:t>
      </w:r>
    </w:p>
    <w:p w14:paraId="237ACD1B" w14:textId="6B869C01" w:rsidR="00C549E1" w:rsidRDefault="00931DE5" w:rsidP="004D321E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“</w:t>
      </w:r>
      <w:r w:rsidR="0012100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 know that e</w:t>
      </w:r>
      <w:r w:rsidR="00D10EC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pisodes of growth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D10EC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can occur at many points of the business journey, and certainly 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do not just begin </w:t>
      </w:r>
      <w:r w:rsidR="00D10EC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when a business reaches </w:t>
      </w:r>
      <w:r w:rsidR="007D6F05" w:rsidRPr="007D6F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10 employees</w:t>
      </w:r>
      <w:r w:rsidR="00994B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  <w:r w:rsidR="00D10EC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994B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 a consequence</w:t>
      </w:r>
      <w:r w:rsidR="00994B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</w:t>
      </w:r>
      <w:r w:rsidR="00D10EC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eligibility for many current growth programmes </w:t>
      </w:r>
      <w:r w:rsidR="001239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needs careful consideration</w:t>
      </w:r>
      <w:r w:rsidR="00D10EC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491545CE" w14:textId="0D03F2CF" w:rsidR="00D10EC7" w:rsidRDefault="00D10EC7" w:rsidP="004D321E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“Going forward we need a system of business support that better serves the realities of the UK business population, which means</w:t>
      </w:r>
      <w:r w:rsidR="00994B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bringing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needs of micro-enterprises to the fore.”</w:t>
      </w:r>
    </w:p>
    <w:p w14:paraId="510E7094" w14:textId="77777777" w:rsidR="00883C3D" w:rsidRDefault="00883C3D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201AD1E" w14:textId="77777777" w:rsidR="00883C3D" w:rsidRPr="00883C3D" w:rsidRDefault="00883C3D" w:rsidP="006F1C80">
      <w:pPr>
        <w:shd w:val="clear" w:color="auto" w:fill="FFFFFF"/>
        <w:spacing w:after="120" w:line="240" w:lineRule="auto"/>
        <w:rPr>
          <w:rFonts w:ascii="Calibri" w:eastAsia="Times New Roman" w:hAnsi="Calibri" w:cs="Calibri"/>
          <w:b/>
          <w:color w:val="000000"/>
          <w:kern w:val="0"/>
          <w:lang w:eastAsia="en-GB"/>
          <w14:ligatures w14:val="none"/>
        </w:rPr>
      </w:pPr>
      <w:r w:rsidRPr="00883C3D">
        <w:rPr>
          <w:rFonts w:ascii="Calibri" w:eastAsia="Times New Roman" w:hAnsi="Calibri" w:cs="Calibri"/>
          <w:b/>
          <w:color w:val="000000"/>
          <w:kern w:val="0"/>
          <w:lang w:eastAsia="en-GB"/>
          <w14:ligatures w14:val="none"/>
        </w:rPr>
        <w:t>NOTES TO EDITORS</w:t>
      </w:r>
    </w:p>
    <w:p w14:paraId="5349BE11" w14:textId="16C36ED7" w:rsidR="00D631D8" w:rsidRDefault="00D631D8" w:rsidP="00D631D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bookmarkStart w:id="0" w:name="_Hlk193459610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For more information, to receive a copy of the report, or to request an interview with the authors from the Enterprise Research Centre contact: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Warren Manger, Media Relations Officer at Warwick Busines</w:t>
      </w:r>
      <w:r w:rsidR="004333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School, on 07876 217983 or email </w:t>
      </w:r>
      <w:hyperlink r:id="rId6" w:history="1">
        <w:r w:rsidRPr="0030644F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warren.manger@wbs.ac.uk</w:t>
        </w:r>
      </w:hyperlink>
    </w:p>
    <w:p w14:paraId="6B387B5E" w14:textId="3FC8D5EB" w:rsidR="00D631D8" w:rsidRDefault="00D631D8" w:rsidP="00D631D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Alternatively, email: </w:t>
      </w:r>
      <w:hyperlink r:id="rId7" w:history="1">
        <w:r w:rsidR="00931DE5" w:rsidRPr="0054483E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press@wbs.ac.uk</w:t>
        </w:r>
      </w:hyperlink>
      <w:r w:rsidR="00931DE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bookmarkEnd w:id="0"/>
    <w:p w14:paraId="0FD60892" w14:textId="77777777" w:rsidR="00D631D8" w:rsidRDefault="00D631D8" w:rsidP="00D631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>The Enterprise Research Centre (ERC) is the UK’s leading independent research institute on productivity and innovation in small and medium-sized enterprises (SMEs).</w:t>
      </w:r>
    </w:p>
    <w:p w14:paraId="2E1CB502" w14:textId="0519FC78" w:rsidR="00D631D8" w:rsidRDefault="00D631D8" w:rsidP="00D631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>It is funded by the Economic and Social Research Council (ESRC), the Department for Business and Trade, the Department for Science, Innovation and Technology, Innovate UK, The Intellectual Property Office (IPO)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the British Business Bank (BBB</w:t>
      </w:r>
      <w:r w:rsidR="004333D8"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>).</w:t>
      </w:r>
      <w:r w:rsidR="004333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Its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research helps to shape better policies and practices that enable SMEs to thrive.</w:t>
      </w:r>
    </w:p>
    <w:p w14:paraId="370787A6" w14:textId="627FF91B" w:rsidR="00D631D8" w:rsidRPr="00D631D8" w:rsidRDefault="00D631D8" w:rsidP="00D631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 Centre is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based at Warwick Business School and is </w:t>
      </w: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>led by Professor Stephen Roper</w:t>
      </w:r>
      <w:r w:rsidR="006636F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Professor Mark Hart, </w:t>
      </w: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>and Dr Vicki Belt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</w:p>
    <w:p w14:paraId="0F2844F7" w14:textId="16EA7613" w:rsidR="004333D8" w:rsidRDefault="00D631D8" w:rsidP="00D631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631D8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The State of Small Business Britain</w:t>
      </w: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report is the ERC’s annual review of trends and issues affecting small businesses in the UK.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It</w:t>
      </w:r>
      <w:r w:rsidRPr="00D631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draws together the Centre’s research to give a picture of the current landscape for the UK’s small businesses.</w:t>
      </w:r>
    </w:p>
    <w:p w14:paraId="237EDA3A" w14:textId="173B9260" w:rsidR="00D631D8" w:rsidRDefault="00D631D8" w:rsidP="00D631D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2AC0D3D" w14:textId="77777777" w:rsidR="006F1C80" w:rsidRDefault="006F1C80" w:rsidP="006F1C80"/>
    <w:sectPr w:rsidR="006F1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3FE4"/>
    <w:multiLevelType w:val="hybridMultilevel"/>
    <w:tmpl w:val="927AF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16136"/>
    <w:multiLevelType w:val="multilevel"/>
    <w:tmpl w:val="31F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2394C"/>
    <w:multiLevelType w:val="multilevel"/>
    <w:tmpl w:val="A8044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C7C9A"/>
    <w:multiLevelType w:val="multilevel"/>
    <w:tmpl w:val="D69E1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92CBA"/>
    <w:multiLevelType w:val="hybridMultilevel"/>
    <w:tmpl w:val="0B5E84F4"/>
    <w:lvl w:ilvl="0" w:tplc="EAD23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60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0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E1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E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8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0C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20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6A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6D54D2"/>
    <w:multiLevelType w:val="hybridMultilevel"/>
    <w:tmpl w:val="A558B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27F4E"/>
    <w:multiLevelType w:val="hybridMultilevel"/>
    <w:tmpl w:val="B5622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80"/>
    <w:rsid w:val="00035705"/>
    <w:rsid w:val="000535D9"/>
    <w:rsid w:val="0006439F"/>
    <w:rsid w:val="000652E9"/>
    <w:rsid w:val="000C4143"/>
    <w:rsid w:val="00121007"/>
    <w:rsid w:val="0012399B"/>
    <w:rsid w:val="00257D05"/>
    <w:rsid w:val="00304011"/>
    <w:rsid w:val="003E3E27"/>
    <w:rsid w:val="003E7B5A"/>
    <w:rsid w:val="004333D8"/>
    <w:rsid w:val="004D321E"/>
    <w:rsid w:val="005A74EB"/>
    <w:rsid w:val="005E48D5"/>
    <w:rsid w:val="006016D8"/>
    <w:rsid w:val="006636F4"/>
    <w:rsid w:val="0067009F"/>
    <w:rsid w:val="006F1C80"/>
    <w:rsid w:val="007130DA"/>
    <w:rsid w:val="00721D11"/>
    <w:rsid w:val="00745E05"/>
    <w:rsid w:val="007D6F05"/>
    <w:rsid w:val="00883C3D"/>
    <w:rsid w:val="00897CEA"/>
    <w:rsid w:val="008A0F41"/>
    <w:rsid w:val="00931DE5"/>
    <w:rsid w:val="00994B31"/>
    <w:rsid w:val="00A36D92"/>
    <w:rsid w:val="00A93F4F"/>
    <w:rsid w:val="00AA33C8"/>
    <w:rsid w:val="00B053DF"/>
    <w:rsid w:val="00B741FD"/>
    <w:rsid w:val="00B963A1"/>
    <w:rsid w:val="00BC1A23"/>
    <w:rsid w:val="00C42894"/>
    <w:rsid w:val="00C549E1"/>
    <w:rsid w:val="00C65D54"/>
    <w:rsid w:val="00CE2F7B"/>
    <w:rsid w:val="00CE460A"/>
    <w:rsid w:val="00D02B14"/>
    <w:rsid w:val="00D10EC7"/>
    <w:rsid w:val="00D35707"/>
    <w:rsid w:val="00D631D8"/>
    <w:rsid w:val="00E019D8"/>
    <w:rsid w:val="00E2183E"/>
    <w:rsid w:val="00F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2CAC"/>
  <w15:chartTrackingRefBased/>
  <w15:docId w15:val="{F207524D-D357-4E7B-A20B-34F1BF0A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80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80"/>
    <w:pPr>
      <w:spacing w:line="252" w:lineRule="auto"/>
      <w:ind w:left="720"/>
      <w:contextualSpacing/>
    </w:pPr>
    <w:rPr>
      <w:rFonts w:ascii="Calibri" w:hAnsi="Calibri" w:cs="Calibri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B963A1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63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1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1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6D8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6D8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wb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ren.manger@wbs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Manger, Warren</dc:creator>
  <cp:keywords/>
  <dc:description/>
  <cp:lastModifiedBy>Belt, Vicki</cp:lastModifiedBy>
  <cp:revision>2</cp:revision>
  <dcterms:created xsi:type="dcterms:W3CDTF">2025-03-21T16:38:00Z</dcterms:created>
  <dcterms:modified xsi:type="dcterms:W3CDTF">2025-03-21T16:38:00Z</dcterms:modified>
</cp:coreProperties>
</file>